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F3C4" w14:textId="77777777" w:rsidR="00842637" w:rsidRDefault="00842637" w:rsidP="00842637">
      <w:pPr>
        <w:pStyle w:val="Title"/>
      </w:pPr>
      <w:r>
        <w:rPr>
          <w:noProof/>
        </w:rPr>
        <w:drawing>
          <wp:anchor distT="0" distB="0" distL="114300" distR="114300" simplePos="0" relativeHeight="251658240" behindDoc="1" locked="0" layoutInCell="1" allowOverlap="1" wp14:anchorId="027FF75A" wp14:editId="335474E4">
            <wp:simplePos x="0" y="0"/>
            <wp:positionH relativeFrom="column">
              <wp:posOffset>3235787</wp:posOffset>
            </wp:positionH>
            <wp:positionV relativeFrom="paragraph">
              <wp:posOffset>-922867</wp:posOffset>
            </wp:positionV>
            <wp:extent cx="3643380" cy="2954867"/>
            <wp:effectExtent l="0" t="0" r="1905" b="4445"/>
            <wp:wrapNone/>
            <wp:docPr id="849045280" name="Picture 6" descr="Purdue University Northwest logo in yellow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45280" name="Picture 6" descr="Purdue University Northwest logo in yellow and gold"/>
                    <pic:cNvPicPr/>
                  </pic:nvPicPr>
                  <pic:blipFill>
                    <a:blip r:embed="rId5">
                      <a:extLst>
                        <a:ext uri="{28A0092B-C50C-407E-A947-70E740481C1C}">
                          <a14:useLocalDpi xmlns:a14="http://schemas.microsoft.com/office/drawing/2010/main" val="0"/>
                        </a:ext>
                      </a:extLst>
                    </a:blip>
                    <a:stretch>
                      <a:fillRect/>
                    </a:stretch>
                  </pic:blipFill>
                  <pic:spPr>
                    <a:xfrm>
                      <a:off x="0" y="0"/>
                      <a:ext cx="3669536" cy="2976080"/>
                    </a:xfrm>
                    <a:prstGeom prst="rect">
                      <a:avLst/>
                    </a:prstGeom>
                  </pic:spPr>
                </pic:pic>
              </a:graphicData>
            </a:graphic>
            <wp14:sizeRelH relativeFrom="page">
              <wp14:pctWidth>0</wp14:pctWidth>
            </wp14:sizeRelH>
            <wp14:sizeRelV relativeFrom="page">
              <wp14:pctHeight>0</wp14:pctHeight>
            </wp14:sizeRelV>
          </wp:anchor>
        </w:drawing>
      </w:r>
      <w:r>
        <w:t xml:space="preserve">Annual Program </w:t>
      </w:r>
    </w:p>
    <w:p w14:paraId="778C3028" w14:textId="068E116B" w:rsidR="00842637" w:rsidRDefault="00842637" w:rsidP="00842637">
      <w:pPr>
        <w:pStyle w:val="Title"/>
      </w:pPr>
      <w:r>
        <w:t>Evaluation Report</w:t>
      </w:r>
    </w:p>
    <w:p w14:paraId="46C19E8B" w14:textId="332BFE6A" w:rsidR="00842637" w:rsidRDefault="00842637" w:rsidP="00842637">
      <w:pPr>
        <w:pStyle w:val="Subtitle"/>
      </w:pPr>
      <w:r>
        <w:t>2024-2025</w:t>
      </w:r>
    </w:p>
    <w:p w14:paraId="1CDC33B5" w14:textId="77777777" w:rsidR="00842637" w:rsidRDefault="00842637" w:rsidP="007A349F"/>
    <w:p w14:paraId="63A534F1" w14:textId="24F9B472" w:rsidR="00842637" w:rsidRDefault="00842637" w:rsidP="007A349F">
      <w:pPr>
        <w:rPr>
          <w:b/>
          <w:bCs/>
          <w:sz w:val="32"/>
          <w:szCs w:val="32"/>
        </w:rPr>
      </w:pPr>
      <w:r w:rsidRPr="00842637">
        <w:rPr>
          <w:b/>
          <w:bCs/>
          <w:sz w:val="32"/>
          <w:szCs w:val="32"/>
        </w:rPr>
        <w:t>Counseling Programs</w:t>
      </w:r>
    </w:p>
    <w:p w14:paraId="2ADFA56C" w14:textId="6376443E" w:rsidR="00842637" w:rsidRDefault="00842637" w:rsidP="007A349F">
      <w:pPr>
        <w:rPr>
          <w:sz w:val="20"/>
          <w:szCs w:val="20"/>
        </w:rPr>
      </w:pPr>
      <w:r>
        <w:rPr>
          <w:sz w:val="20"/>
          <w:szCs w:val="20"/>
        </w:rPr>
        <w:t>School of Education &amp; Counseling | College of Humanities, Education and Social Sciences</w:t>
      </w:r>
    </w:p>
    <w:p w14:paraId="60FA4908" w14:textId="77777777" w:rsidR="00842637" w:rsidRDefault="00842637" w:rsidP="007A349F">
      <w:pPr>
        <w:rPr>
          <w:sz w:val="20"/>
          <w:szCs w:val="20"/>
        </w:rPr>
      </w:pPr>
    </w:p>
    <w:p w14:paraId="6A70E72A" w14:textId="77777777" w:rsidR="00842637" w:rsidRDefault="00842637" w:rsidP="007A349F">
      <w:pPr>
        <w:rPr>
          <w:sz w:val="20"/>
          <w:szCs w:val="20"/>
        </w:rPr>
      </w:pPr>
    </w:p>
    <w:p w14:paraId="604B97E0" w14:textId="4819E11D" w:rsidR="00670E45" w:rsidRPr="00670E45" w:rsidRDefault="00670E45" w:rsidP="007A349F">
      <w:pPr>
        <w:rPr>
          <w:sz w:val="22"/>
          <w:szCs w:val="22"/>
          <w:u w:val="single"/>
        </w:rPr>
      </w:pPr>
      <w:r w:rsidRPr="00670E45">
        <w:rPr>
          <w:sz w:val="22"/>
          <w:szCs w:val="22"/>
          <w:u w:val="single"/>
        </w:rPr>
        <w:t>What this Document Is</w:t>
      </w:r>
    </w:p>
    <w:p w14:paraId="1450A018" w14:textId="6A3AD57D" w:rsidR="00842637" w:rsidRDefault="00842637" w:rsidP="00842637">
      <w:pPr>
        <w:rPr>
          <w:sz w:val="22"/>
          <w:szCs w:val="22"/>
        </w:rPr>
      </w:pPr>
      <w:r>
        <w:rPr>
          <w:sz w:val="22"/>
          <w:szCs w:val="22"/>
        </w:rPr>
        <w:t>The faculty of the Counselor Education programs at Purdue University Northwest embrace a continuous improvement process in which they regularly review program outcomes, review evaluations and reports, and ensure program objectives are being met through a comprehensive review process. Review of data occurs during regularly scheduled faculty meetings, and a once-per-semester overall evaluation review meeting where all the data is aggregated and discussed for mid-level and high-level programmatic development and improvement. This report is one step in that process, whereby our goal is to ‘close the feedback loop’ and share program improvements related to data, along with a disclosure of outcomes.</w:t>
      </w:r>
    </w:p>
    <w:p w14:paraId="3971E890" w14:textId="77777777" w:rsidR="00842637" w:rsidRDefault="00842637" w:rsidP="00842637">
      <w:pPr>
        <w:rPr>
          <w:sz w:val="22"/>
          <w:szCs w:val="22"/>
        </w:rPr>
      </w:pPr>
    </w:p>
    <w:p w14:paraId="5B24846B" w14:textId="0C2EEFBB" w:rsidR="00842637" w:rsidRDefault="00842637" w:rsidP="00842637">
      <w:pPr>
        <w:rPr>
          <w:sz w:val="22"/>
          <w:szCs w:val="22"/>
        </w:rPr>
      </w:pPr>
      <w:r>
        <w:rPr>
          <w:sz w:val="22"/>
          <w:szCs w:val="22"/>
        </w:rPr>
        <w:t xml:space="preserve">In this report, data from the </w:t>
      </w:r>
      <w:r w:rsidRPr="00842637">
        <w:rPr>
          <w:b/>
          <w:bCs/>
          <w:sz w:val="22"/>
          <w:szCs w:val="22"/>
        </w:rPr>
        <w:t>2024-2025 Academic Year</w:t>
      </w:r>
      <w:r>
        <w:rPr>
          <w:sz w:val="22"/>
          <w:szCs w:val="22"/>
        </w:rPr>
        <w:t xml:space="preserve"> is presented, along with an analysis of the outcomes and suggested, enacted, or planned changes to program, clinical, or academic learning delivery. In addition, continuing and new goals/targets for 2025-2026 are also offered. </w:t>
      </w:r>
    </w:p>
    <w:p w14:paraId="793EB205" w14:textId="77777777" w:rsidR="00670E45" w:rsidRDefault="00670E45" w:rsidP="00842637">
      <w:pPr>
        <w:rPr>
          <w:sz w:val="22"/>
          <w:szCs w:val="22"/>
        </w:rPr>
      </w:pPr>
    </w:p>
    <w:p w14:paraId="287B094C" w14:textId="77777777" w:rsidR="00670E45" w:rsidRDefault="00670E45" w:rsidP="00842637">
      <w:pPr>
        <w:rPr>
          <w:sz w:val="22"/>
          <w:szCs w:val="22"/>
        </w:rPr>
      </w:pPr>
    </w:p>
    <w:p w14:paraId="15713953" w14:textId="1980DD46" w:rsidR="00670E45" w:rsidRDefault="00670E45" w:rsidP="00842637">
      <w:pPr>
        <w:rPr>
          <w:sz w:val="22"/>
          <w:szCs w:val="22"/>
          <w:u w:val="single"/>
        </w:rPr>
      </w:pPr>
      <w:r>
        <w:rPr>
          <w:sz w:val="22"/>
          <w:szCs w:val="22"/>
          <w:u w:val="single"/>
        </w:rPr>
        <w:t>Brief Introduction to the Programs</w:t>
      </w:r>
    </w:p>
    <w:p w14:paraId="72EF89F9" w14:textId="1D5D2944" w:rsidR="00670E45" w:rsidRDefault="00670E45" w:rsidP="00842637">
      <w:pPr>
        <w:rPr>
          <w:sz w:val="22"/>
          <w:szCs w:val="22"/>
        </w:rPr>
      </w:pPr>
      <w:r>
        <w:rPr>
          <w:sz w:val="22"/>
          <w:szCs w:val="22"/>
        </w:rPr>
        <w:t>The Counselor Education Graduate Programs at Purdue University Northwest offer a Master of Science in Education (</w:t>
      </w:r>
      <w:proofErr w:type="spellStart"/>
      <w:r>
        <w:rPr>
          <w:sz w:val="22"/>
          <w:szCs w:val="22"/>
        </w:rPr>
        <w:t>MSEd</w:t>
      </w:r>
      <w:proofErr w:type="spellEnd"/>
      <w:r>
        <w:rPr>
          <w:sz w:val="22"/>
          <w:szCs w:val="22"/>
        </w:rPr>
        <w:t xml:space="preserve">), with programs in Clinical Mental Health Counseling and School Counseling. In addition to our degree programs, we also offer three graduate certificates, in Substance Abuse Counseling, Medically Assisted Recovery, and Expressive Arts Counseling. The program has three core faculty </w:t>
      </w:r>
      <w:proofErr w:type="gramStart"/>
      <w:r>
        <w:rPr>
          <w:sz w:val="22"/>
          <w:szCs w:val="22"/>
        </w:rPr>
        <w:t>members, and</w:t>
      </w:r>
      <w:proofErr w:type="gramEnd"/>
      <w:r>
        <w:rPr>
          <w:sz w:val="22"/>
          <w:szCs w:val="22"/>
        </w:rPr>
        <w:t xml:space="preserve"> has an active and vibrant alumni community. Students see clients for practicum out of the on-campus Community Counseling Center, and then have a rich clinical experience with trusted internship partners at clinical counseling agencies in our local community, along with local school systems. The program is CACREP Accredited, and graduates are fully qualified to sit for the NBCC </w:t>
      </w:r>
      <w:proofErr w:type="gramStart"/>
      <w:r>
        <w:rPr>
          <w:sz w:val="22"/>
          <w:szCs w:val="22"/>
        </w:rPr>
        <w:t>Exam, and</w:t>
      </w:r>
      <w:proofErr w:type="gramEnd"/>
      <w:r>
        <w:rPr>
          <w:sz w:val="22"/>
          <w:szCs w:val="22"/>
        </w:rPr>
        <w:t xml:space="preserve"> achieve initial licensure to practice under supervision in the States of Indiana and Illinois. </w:t>
      </w:r>
    </w:p>
    <w:p w14:paraId="31039006" w14:textId="77777777" w:rsidR="00670E45" w:rsidRDefault="00670E45" w:rsidP="00842637">
      <w:pPr>
        <w:rPr>
          <w:sz w:val="22"/>
          <w:szCs w:val="22"/>
        </w:rPr>
      </w:pPr>
    </w:p>
    <w:p w14:paraId="3F34A0C8" w14:textId="77777777" w:rsidR="00670E45" w:rsidRPr="00670E45" w:rsidRDefault="00670E45" w:rsidP="00842637">
      <w:pPr>
        <w:rPr>
          <w:sz w:val="22"/>
          <w:szCs w:val="22"/>
        </w:rPr>
      </w:pPr>
    </w:p>
    <w:p w14:paraId="44E21FF6" w14:textId="23DDF79E" w:rsidR="00670E45" w:rsidRPr="00670E45" w:rsidRDefault="00670E45" w:rsidP="00842637">
      <w:pPr>
        <w:rPr>
          <w:sz w:val="22"/>
          <w:szCs w:val="22"/>
          <w:u w:val="single"/>
        </w:rPr>
      </w:pPr>
      <w:r>
        <w:rPr>
          <w:sz w:val="22"/>
          <w:szCs w:val="22"/>
          <w:u w:val="single"/>
        </w:rPr>
        <w:t xml:space="preserve">2025-2026 </w:t>
      </w:r>
      <w:r w:rsidRPr="00670E45">
        <w:rPr>
          <w:sz w:val="22"/>
          <w:szCs w:val="22"/>
          <w:u w:val="single"/>
        </w:rPr>
        <w:t>Faculty of the Counselor Education Graduate Programs</w:t>
      </w:r>
    </w:p>
    <w:p w14:paraId="14B66A48" w14:textId="6DD57B33" w:rsidR="00670E45" w:rsidRDefault="00670E45" w:rsidP="00842637">
      <w:pPr>
        <w:rPr>
          <w:sz w:val="22"/>
          <w:szCs w:val="22"/>
        </w:rPr>
      </w:pPr>
      <w:r>
        <w:rPr>
          <w:sz w:val="22"/>
          <w:szCs w:val="22"/>
        </w:rPr>
        <w:t>Shawn Patrick, EdD, NCC, LCPC, LMHC</w:t>
      </w:r>
      <w:r>
        <w:rPr>
          <w:sz w:val="22"/>
          <w:szCs w:val="22"/>
        </w:rPr>
        <w:tab/>
        <w:t xml:space="preserve">Associate Professor </w:t>
      </w:r>
      <w:r w:rsidR="003478A2">
        <w:rPr>
          <w:sz w:val="22"/>
          <w:szCs w:val="22"/>
        </w:rPr>
        <w:t>|</w:t>
      </w:r>
      <w:r>
        <w:rPr>
          <w:sz w:val="22"/>
          <w:szCs w:val="22"/>
        </w:rPr>
        <w:t xml:space="preserve"> Program Coordinator</w:t>
      </w:r>
    </w:p>
    <w:p w14:paraId="63733E1B" w14:textId="1DE05088" w:rsidR="00670E45" w:rsidRDefault="00670E45" w:rsidP="00842637">
      <w:pPr>
        <w:rPr>
          <w:sz w:val="22"/>
          <w:szCs w:val="22"/>
        </w:rPr>
      </w:pPr>
      <w:r>
        <w:rPr>
          <w:sz w:val="22"/>
          <w:szCs w:val="22"/>
        </w:rPr>
        <w:t>Oliver Camacho, PhD, NCC, LPC, PEL-SC</w:t>
      </w:r>
      <w:r>
        <w:rPr>
          <w:sz w:val="22"/>
          <w:szCs w:val="22"/>
        </w:rPr>
        <w:tab/>
        <w:t xml:space="preserve">Assistant Professor </w:t>
      </w:r>
      <w:r w:rsidR="003478A2">
        <w:rPr>
          <w:sz w:val="22"/>
          <w:szCs w:val="22"/>
        </w:rPr>
        <w:t>|</w:t>
      </w:r>
      <w:r>
        <w:rPr>
          <w:sz w:val="22"/>
          <w:szCs w:val="22"/>
        </w:rPr>
        <w:t xml:space="preserve"> Core Faculty</w:t>
      </w:r>
    </w:p>
    <w:p w14:paraId="2B10566A" w14:textId="05847DBC" w:rsidR="00670E45" w:rsidRDefault="00670E45" w:rsidP="000B0479">
      <w:pPr>
        <w:ind w:left="4320" w:hanging="4320"/>
        <w:rPr>
          <w:sz w:val="22"/>
          <w:szCs w:val="22"/>
        </w:rPr>
      </w:pPr>
      <w:r>
        <w:rPr>
          <w:sz w:val="22"/>
          <w:szCs w:val="22"/>
        </w:rPr>
        <w:t xml:space="preserve">Vanessa Qualls, </w:t>
      </w:r>
      <w:proofErr w:type="spellStart"/>
      <w:r>
        <w:rPr>
          <w:sz w:val="22"/>
          <w:szCs w:val="22"/>
        </w:rPr>
        <w:t>MSEd</w:t>
      </w:r>
      <w:proofErr w:type="spellEnd"/>
      <w:r>
        <w:rPr>
          <w:sz w:val="22"/>
          <w:szCs w:val="22"/>
        </w:rPr>
        <w:t>, LMHC, LCPC</w:t>
      </w:r>
      <w:r w:rsidR="000B0479">
        <w:rPr>
          <w:sz w:val="22"/>
          <w:szCs w:val="22"/>
        </w:rPr>
        <w:tab/>
      </w:r>
      <w:r>
        <w:rPr>
          <w:sz w:val="22"/>
          <w:szCs w:val="22"/>
        </w:rPr>
        <w:t xml:space="preserve">Visiting Instructor </w:t>
      </w:r>
      <w:r w:rsidR="003478A2">
        <w:rPr>
          <w:sz w:val="22"/>
          <w:szCs w:val="22"/>
        </w:rPr>
        <w:t>| Practicum &amp; Internship Coordinator</w:t>
      </w:r>
    </w:p>
    <w:p w14:paraId="3E935CBA" w14:textId="77777777" w:rsidR="00670E45" w:rsidRDefault="00670E45" w:rsidP="00842637">
      <w:pPr>
        <w:rPr>
          <w:sz w:val="22"/>
          <w:szCs w:val="22"/>
        </w:rPr>
      </w:pPr>
    </w:p>
    <w:p w14:paraId="11A1857D" w14:textId="77777777" w:rsidR="00670E45" w:rsidRDefault="00670E45" w:rsidP="00842637">
      <w:pPr>
        <w:rPr>
          <w:sz w:val="22"/>
          <w:szCs w:val="22"/>
        </w:rPr>
      </w:pPr>
    </w:p>
    <w:p w14:paraId="2C4D6E22" w14:textId="1B9B926A" w:rsidR="00670E45" w:rsidRDefault="00670E45" w:rsidP="003478A2">
      <w:pPr>
        <w:pStyle w:val="Heading1"/>
      </w:pPr>
      <w:r w:rsidRPr="003478A2">
        <w:lastRenderedPageBreak/>
        <w:t>Program Evaluation Results</w:t>
      </w:r>
    </w:p>
    <w:p w14:paraId="6061E660" w14:textId="5FE93D5F" w:rsidR="00DA52A5" w:rsidRPr="00DA52A5" w:rsidRDefault="00DA52A5" w:rsidP="00FC394E">
      <w:pPr>
        <w:rPr>
          <w:sz w:val="22"/>
          <w:szCs w:val="22"/>
          <w:u w:val="single"/>
        </w:rPr>
      </w:pPr>
      <w:r w:rsidRPr="00DA52A5">
        <w:rPr>
          <w:sz w:val="22"/>
          <w:szCs w:val="22"/>
          <w:u w:val="single"/>
        </w:rPr>
        <w:t>Enrollment an</w:t>
      </w:r>
      <w:r>
        <w:rPr>
          <w:sz w:val="22"/>
          <w:szCs w:val="22"/>
          <w:u w:val="single"/>
        </w:rPr>
        <w:t xml:space="preserve">d </w:t>
      </w:r>
      <w:r w:rsidRPr="00DA52A5">
        <w:rPr>
          <w:sz w:val="22"/>
          <w:szCs w:val="22"/>
          <w:u w:val="single"/>
        </w:rPr>
        <w:t>Student Success</w:t>
      </w:r>
    </w:p>
    <w:p w14:paraId="0E97A986" w14:textId="2DBD2C1B" w:rsidR="00DA52A5" w:rsidRDefault="00DA52A5" w:rsidP="00FC394E">
      <w:pPr>
        <w:rPr>
          <w:sz w:val="22"/>
          <w:szCs w:val="22"/>
        </w:rPr>
      </w:pPr>
      <w:r w:rsidRPr="006B3D2C">
        <w:rPr>
          <w:sz w:val="22"/>
          <w:szCs w:val="22"/>
        </w:rPr>
        <w:t>In 2024-2025, the Counselor Education Program enrolled:</w:t>
      </w:r>
    </w:p>
    <w:p w14:paraId="57E31F24" w14:textId="018BC3E3" w:rsidR="00DA52A5" w:rsidRDefault="00DA52A5" w:rsidP="00FC394E">
      <w:pPr>
        <w:rPr>
          <w:sz w:val="22"/>
          <w:szCs w:val="22"/>
        </w:rPr>
      </w:pPr>
      <w:r>
        <w:rPr>
          <w:sz w:val="22"/>
          <w:szCs w:val="22"/>
        </w:rPr>
        <w:tab/>
      </w:r>
      <w:r w:rsidR="006B3D2C">
        <w:rPr>
          <w:sz w:val="22"/>
          <w:szCs w:val="22"/>
        </w:rPr>
        <w:t>7</w:t>
      </w:r>
      <w:r>
        <w:rPr>
          <w:sz w:val="22"/>
          <w:szCs w:val="22"/>
        </w:rPr>
        <w:t xml:space="preserve"> new Clinical Mental Health Students</w:t>
      </w:r>
    </w:p>
    <w:p w14:paraId="4686A1E0" w14:textId="4C2EEEEC" w:rsidR="00DA52A5" w:rsidRDefault="00DA52A5" w:rsidP="00FC394E">
      <w:pPr>
        <w:rPr>
          <w:sz w:val="22"/>
          <w:szCs w:val="22"/>
        </w:rPr>
      </w:pPr>
      <w:r>
        <w:rPr>
          <w:sz w:val="22"/>
          <w:szCs w:val="22"/>
        </w:rPr>
        <w:tab/>
      </w:r>
      <w:r w:rsidR="006B3D2C">
        <w:rPr>
          <w:sz w:val="22"/>
          <w:szCs w:val="22"/>
        </w:rPr>
        <w:t>5</w:t>
      </w:r>
      <w:r>
        <w:rPr>
          <w:sz w:val="22"/>
          <w:szCs w:val="22"/>
        </w:rPr>
        <w:t xml:space="preserve"> new School Counseling Students</w:t>
      </w:r>
    </w:p>
    <w:p w14:paraId="548E915C" w14:textId="359A5ED9" w:rsidR="00DA52A5" w:rsidRDefault="00DA52A5" w:rsidP="00FC394E">
      <w:pPr>
        <w:rPr>
          <w:sz w:val="22"/>
          <w:szCs w:val="22"/>
        </w:rPr>
      </w:pPr>
    </w:p>
    <w:p w14:paraId="6612CD73" w14:textId="02F58D85" w:rsidR="00DA52A5" w:rsidRDefault="00DA52A5" w:rsidP="00FC394E">
      <w:pPr>
        <w:rPr>
          <w:sz w:val="22"/>
          <w:szCs w:val="22"/>
        </w:rPr>
      </w:pPr>
      <w:r>
        <w:rPr>
          <w:sz w:val="22"/>
          <w:szCs w:val="22"/>
        </w:rPr>
        <w:t>In 2024-2025, the Counselor Education Program graduated:</w:t>
      </w:r>
    </w:p>
    <w:p w14:paraId="1D68C892" w14:textId="28A95ECB" w:rsidR="00DA52A5" w:rsidRDefault="00DA52A5" w:rsidP="00FC394E">
      <w:pPr>
        <w:rPr>
          <w:sz w:val="22"/>
          <w:szCs w:val="22"/>
        </w:rPr>
      </w:pPr>
      <w:r>
        <w:rPr>
          <w:sz w:val="22"/>
          <w:szCs w:val="22"/>
        </w:rPr>
        <w:tab/>
      </w:r>
      <w:r w:rsidR="006776F7">
        <w:rPr>
          <w:sz w:val="22"/>
          <w:szCs w:val="22"/>
        </w:rPr>
        <w:t>10</w:t>
      </w:r>
      <w:r>
        <w:rPr>
          <w:sz w:val="22"/>
          <w:szCs w:val="22"/>
        </w:rPr>
        <w:t xml:space="preserve"> </w:t>
      </w:r>
      <w:r w:rsidR="006776F7">
        <w:rPr>
          <w:sz w:val="22"/>
          <w:szCs w:val="22"/>
        </w:rPr>
        <w:tab/>
      </w:r>
      <w:r>
        <w:rPr>
          <w:sz w:val="22"/>
          <w:szCs w:val="22"/>
        </w:rPr>
        <w:t>Clinical Mental Health Students</w:t>
      </w:r>
    </w:p>
    <w:p w14:paraId="4FA9C3BC" w14:textId="04A648BF" w:rsidR="00DA52A5" w:rsidRDefault="00DA52A5" w:rsidP="00FC394E">
      <w:pPr>
        <w:rPr>
          <w:sz w:val="22"/>
          <w:szCs w:val="22"/>
        </w:rPr>
      </w:pPr>
      <w:r>
        <w:rPr>
          <w:sz w:val="22"/>
          <w:szCs w:val="22"/>
        </w:rPr>
        <w:tab/>
      </w:r>
      <w:r w:rsidR="006776F7">
        <w:rPr>
          <w:sz w:val="22"/>
          <w:szCs w:val="22"/>
        </w:rPr>
        <w:t>4</w:t>
      </w:r>
      <w:r>
        <w:rPr>
          <w:sz w:val="22"/>
          <w:szCs w:val="22"/>
        </w:rPr>
        <w:t xml:space="preserve"> </w:t>
      </w:r>
      <w:r w:rsidR="006776F7">
        <w:rPr>
          <w:sz w:val="22"/>
          <w:szCs w:val="22"/>
        </w:rPr>
        <w:tab/>
      </w:r>
      <w:r>
        <w:rPr>
          <w:sz w:val="22"/>
          <w:szCs w:val="22"/>
        </w:rPr>
        <w:t>School Counseling Students</w:t>
      </w:r>
    </w:p>
    <w:p w14:paraId="1151F26E" w14:textId="77777777" w:rsidR="00DA52A5" w:rsidRDefault="00DA52A5" w:rsidP="00FC394E">
      <w:pPr>
        <w:rPr>
          <w:sz w:val="22"/>
          <w:szCs w:val="22"/>
        </w:rPr>
      </w:pPr>
    </w:p>
    <w:p w14:paraId="6F487FA7" w14:textId="6CE908E9" w:rsidR="00DA52A5" w:rsidRDefault="00DA52A5" w:rsidP="00FC394E">
      <w:pPr>
        <w:rPr>
          <w:sz w:val="22"/>
          <w:szCs w:val="22"/>
        </w:rPr>
      </w:pPr>
      <w:r w:rsidRPr="006B3D2C">
        <w:rPr>
          <w:sz w:val="22"/>
          <w:szCs w:val="22"/>
        </w:rPr>
        <w:t xml:space="preserve">This resulted in a </w:t>
      </w:r>
      <w:proofErr w:type="spellStart"/>
      <w:r w:rsidR="006B3D2C">
        <w:rPr>
          <w:sz w:val="22"/>
          <w:szCs w:val="22"/>
        </w:rPr>
        <w:t>Faculty</w:t>
      </w:r>
      <w:r w:rsidRPr="006B3D2C">
        <w:rPr>
          <w:sz w:val="22"/>
          <w:szCs w:val="22"/>
        </w:rPr>
        <w:t>:</w:t>
      </w:r>
      <w:r w:rsidR="006B3D2C">
        <w:rPr>
          <w:sz w:val="22"/>
          <w:szCs w:val="22"/>
        </w:rPr>
        <w:t>Student</w:t>
      </w:r>
      <w:proofErr w:type="spellEnd"/>
      <w:r w:rsidRPr="006B3D2C">
        <w:rPr>
          <w:sz w:val="22"/>
          <w:szCs w:val="22"/>
        </w:rPr>
        <w:t xml:space="preserve"> ratio as follows:</w:t>
      </w:r>
      <w:r>
        <w:rPr>
          <w:sz w:val="22"/>
          <w:szCs w:val="22"/>
        </w:rPr>
        <w:t xml:space="preserve"> </w:t>
      </w:r>
    </w:p>
    <w:p w14:paraId="2F3729D3" w14:textId="73833D5C" w:rsidR="00DA52A5" w:rsidRDefault="00DA52A5" w:rsidP="00FC394E">
      <w:pPr>
        <w:rPr>
          <w:sz w:val="22"/>
          <w:szCs w:val="22"/>
        </w:rPr>
      </w:pPr>
      <w:r>
        <w:rPr>
          <w:sz w:val="22"/>
          <w:szCs w:val="22"/>
        </w:rPr>
        <w:tab/>
        <w:t>Fall 2024:</w:t>
      </w:r>
      <w:r w:rsidR="006B3D2C">
        <w:rPr>
          <w:sz w:val="22"/>
          <w:szCs w:val="22"/>
        </w:rPr>
        <w:t xml:space="preserve"> 1:6</w:t>
      </w:r>
    </w:p>
    <w:p w14:paraId="30956436" w14:textId="70B09D21" w:rsidR="00DA52A5" w:rsidRDefault="00DA52A5" w:rsidP="00FC394E">
      <w:pPr>
        <w:rPr>
          <w:sz w:val="22"/>
          <w:szCs w:val="22"/>
        </w:rPr>
      </w:pPr>
      <w:r>
        <w:rPr>
          <w:sz w:val="22"/>
          <w:szCs w:val="22"/>
        </w:rPr>
        <w:tab/>
        <w:t>Spring 2025:</w:t>
      </w:r>
      <w:r w:rsidR="006B3D2C">
        <w:rPr>
          <w:sz w:val="22"/>
          <w:szCs w:val="22"/>
        </w:rPr>
        <w:t xml:space="preserve"> 1:8</w:t>
      </w:r>
    </w:p>
    <w:p w14:paraId="7BC266CE" w14:textId="26D85809" w:rsidR="00DA52A5" w:rsidRDefault="00DA52A5" w:rsidP="00FC394E">
      <w:pPr>
        <w:rPr>
          <w:sz w:val="22"/>
          <w:szCs w:val="22"/>
        </w:rPr>
      </w:pPr>
      <w:r>
        <w:rPr>
          <w:sz w:val="22"/>
          <w:szCs w:val="22"/>
        </w:rPr>
        <w:tab/>
        <w:t>Summer 2025:</w:t>
      </w:r>
      <w:r w:rsidR="006B3D2C">
        <w:rPr>
          <w:sz w:val="22"/>
          <w:szCs w:val="22"/>
        </w:rPr>
        <w:t xml:space="preserve"> 1:11</w:t>
      </w:r>
    </w:p>
    <w:p w14:paraId="23BF90C7" w14:textId="77777777" w:rsidR="00DA52A5" w:rsidRDefault="00DA52A5" w:rsidP="00FC394E">
      <w:pPr>
        <w:rPr>
          <w:sz w:val="22"/>
          <w:szCs w:val="22"/>
        </w:rPr>
      </w:pPr>
    </w:p>
    <w:p w14:paraId="0F2A179E" w14:textId="6487E282" w:rsidR="00DA52A5" w:rsidRPr="00DA52A5" w:rsidRDefault="00DA52A5" w:rsidP="00FC394E">
      <w:pPr>
        <w:rPr>
          <w:sz w:val="22"/>
          <w:szCs w:val="22"/>
          <w:u w:val="single"/>
        </w:rPr>
      </w:pPr>
      <w:r w:rsidRPr="00DA52A5">
        <w:rPr>
          <w:sz w:val="22"/>
          <w:szCs w:val="22"/>
          <w:u w:val="single"/>
        </w:rPr>
        <w:t>Program Goals and Overall Program Evaluation</w:t>
      </w:r>
    </w:p>
    <w:p w14:paraId="5CDFCAC1" w14:textId="26CFD7D4" w:rsidR="00FC394E" w:rsidRDefault="00FC394E" w:rsidP="00FC394E">
      <w:pPr>
        <w:rPr>
          <w:sz w:val="22"/>
          <w:szCs w:val="22"/>
        </w:rPr>
      </w:pPr>
      <w:r>
        <w:rPr>
          <w:sz w:val="22"/>
          <w:szCs w:val="22"/>
        </w:rPr>
        <w:t xml:space="preserve">Below, each program goal is listed, with the first subpoints being the evaluation metric (a) and target (b). Following the target, the overall/outcome results from the most recent evaluation cycle is presented. </w:t>
      </w:r>
      <w:r w:rsidR="00531F5D">
        <w:rPr>
          <w:sz w:val="22"/>
          <w:szCs w:val="22"/>
        </w:rPr>
        <w:t>CMHC = Clinical Mental Health Counseling; SC = School Counseling</w:t>
      </w:r>
    </w:p>
    <w:p w14:paraId="5E0F6D5B" w14:textId="77777777" w:rsidR="00FC394E" w:rsidRDefault="00FC394E" w:rsidP="00FC394E">
      <w:pPr>
        <w:rPr>
          <w:sz w:val="22"/>
          <w:szCs w:val="22"/>
        </w:rPr>
      </w:pPr>
    </w:p>
    <w:p w14:paraId="55FEF681" w14:textId="3C7DDB0C" w:rsidR="00FC394E" w:rsidRDefault="00FC394E" w:rsidP="00FC394E">
      <w:pPr>
        <w:pStyle w:val="ListParagraph"/>
        <w:numPr>
          <w:ilvl w:val="0"/>
          <w:numId w:val="3"/>
        </w:numPr>
        <w:rPr>
          <w:sz w:val="22"/>
          <w:szCs w:val="22"/>
        </w:rPr>
      </w:pPr>
      <w:r w:rsidRPr="00FC394E">
        <w:rPr>
          <w:sz w:val="22"/>
          <w:szCs w:val="22"/>
        </w:rPr>
        <w:t xml:space="preserve">Graduates will have a solid foundation of knowledge within the 8 CACREP core areas. </w:t>
      </w:r>
    </w:p>
    <w:p w14:paraId="469BCBD3" w14:textId="565B5C83" w:rsidR="00FC394E" w:rsidRDefault="00FC394E" w:rsidP="00FC394E">
      <w:pPr>
        <w:pStyle w:val="ListParagraph"/>
        <w:numPr>
          <w:ilvl w:val="1"/>
          <w:numId w:val="3"/>
        </w:numPr>
        <w:rPr>
          <w:sz w:val="22"/>
          <w:szCs w:val="22"/>
        </w:rPr>
      </w:pPr>
      <w:r>
        <w:rPr>
          <w:sz w:val="22"/>
          <w:szCs w:val="22"/>
        </w:rPr>
        <w:t xml:space="preserve">Metric: Aggregate statistics of most recent NBCC Exam Results – CACREP Content Area Section. </w:t>
      </w:r>
    </w:p>
    <w:p w14:paraId="2CBF198A" w14:textId="3BC81C28" w:rsidR="00FC394E" w:rsidRDefault="00FC394E" w:rsidP="00FC394E">
      <w:pPr>
        <w:pStyle w:val="ListParagraph"/>
        <w:numPr>
          <w:ilvl w:val="1"/>
          <w:numId w:val="3"/>
        </w:numPr>
        <w:rPr>
          <w:sz w:val="22"/>
          <w:szCs w:val="22"/>
        </w:rPr>
      </w:pPr>
      <w:r>
        <w:rPr>
          <w:sz w:val="22"/>
          <w:szCs w:val="22"/>
        </w:rPr>
        <w:t xml:space="preserve">Target: Aggregate scores for PNW CMHC and SC programs will be equal to, greater than, or within one standard deviation (national) of the national averages. </w:t>
      </w:r>
    </w:p>
    <w:p w14:paraId="57113E20" w14:textId="77777777" w:rsidR="00531F5D" w:rsidRDefault="00531F5D" w:rsidP="00531F5D">
      <w:pPr>
        <w:rPr>
          <w:sz w:val="22"/>
          <w:szCs w:val="22"/>
        </w:rPr>
      </w:pPr>
    </w:p>
    <w:tbl>
      <w:tblPr>
        <w:tblStyle w:val="TableGrid"/>
        <w:tblW w:w="9379" w:type="dxa"/>
        <w:tblLook w:val="04A0" w:firstRow="1" w:lastRow="0" w:firstColumn="1" w:lastColumn="0" w:noHBand="0" w:noVBand="1"/>
      </w:tblPr>
      <w:tblGrid>
        <w:gridCol w:w="1728"/>
        <w:gridCol w:w="2448"/>
        <w:gridCol w:w="1008"/>
        <w:gridCol w:w="1008"/>
        <w:gridCol w:w="1008"/>
        <w:gridCol w:w="1027"/>
        <w:gridCol w:w="1152"/>
      </w:tblGrid>
      <w:tr w:rsidR="00531F5D" w:rsidRPr="00531F5D" w14:paraId="3A4A5BC2" w14:textId="77777777" w:rsidTr="00531F5D">
        <w:tc>
          <w:tcPr>
            <w:tcW w:w="1728" w:type="dxa"/>
            <w:tcBorders>
              <w:top w:val="nil"/>
              <w:left w:val="nil"/>
              <w:bottom w:val="single" w:sz="4" w:space="0" w:color="auto"/>
              <w:right w:val="nil"/>
            </w:tcBorders>
            <w:vAlign w:val="bottom"/>
          </w:tcPr>
          <w:p w14:paraId="53C93536" w14:textId="51E563D9" w:rsidR="00531F5D" w:rsidRPr="00531F5D" w:rsidRDefault="00531F5D" w:rsidP="00531F5D">
            <w:pPr>
              <w:jc w:val="center"/>
              <w:rPr>
                <w:sz w:val="18"/>
                <w:szCs w:val="18"/>
              </w:rPr>
            </w:pPr>
            <w:r w:rsidRPr="00531F5D">
              <w:rPr>
                <w:sz w:val="18"/>
                <w:szCs w:val="18"/>
              </w:rPr>
              <w:t>Semester of Testing</w:t>
            </w:r>
          </w:p>
        </w:tc>
        <w:tc>
          <w:tcPr>
            <w:tcW w:w="2448" w:type="dxa"/>
            <w:tcBorders>
              <w:top w:val="nil"/>
              <w:left w:val="nil"/>
              <w:bottom w:val="single" w:sz="4" w:space="0" w:color="auto"/>
              <w:right w:val="nil"/>
            </w:tcBorders>
            <w:vAlign w:val="bottom"/>
          </w:tcPr>
          <w:p w14:paraId="690B3D2B" w14:textId="15C940CC" w:rsidR="00531F5D" w:rsidRPr="00531F5D" w:rsidRDefault="00531F5D" w:rsidP="00531F5D">
            <w:pPr>
              <w:jc w:val="center"/>
              <w:rPr>
                <w:sz w:val="18"/>
                <w:szCs w:val="18"/>
              </w:rPr>
            </w:pPr>
            <w:r w:rsidRPr="00531F5D">
              <w:rPr>
                <w:sz w:val="18"/>
                <w:szCs w:val="18"/>
              </w:rPr>
              <w:t>Test Type</w:t>
            </w:r>
          </w:p>
        </w:tc>
        <w:tc>
          <w:tcPr>
            <w:tcW w:w="1008" w:type="dxa"/>
            <w:tcBorders>
              <w:top w:val="nil"/>
              <w:left w:val="nil"/>
              <w:bottom w:val="single" w:sz="4" w:space="0" w:color="auto"/>
              <w:right w:val="nil"/>
            </w:tcBorders>
            <w:vAlign w:val="bottom"/>
          </w:tcPr>
          <w:p w14:paraId="6F3691AE" w14:textId="7F990F50" w:rsidR="00531F5D" w:rsidRPr="00531F5D" w:rsidRDefault="00531F5D" w:rsidP="00531F5D">
            <w:pPr>
              <w:jc w:val="center"/>
              <w:rPr>
                <w:sz w:val="18"/>
                <w:szCs w:val="18"/>
              </w:rPr>
            </w:pPr>
            <w:r w:rsidRPr="00531F5D">
              <w:rPr>
                <w:sz w:val="18"/>
                <w:szCs w:val="18"/>
              </w:rPr>
              <w:t>PNW Program Average</w:t>
            </w:r>
          </w:p>
        </w:tc>
        <w:tc>
          <w:tcPr>
            <w:tcW w:w="1008" w:type="dxa"/>
            <w:tcBorders>
              <w:top w:val="nil"/>
              <w:left w:val="nil"/>
              <w:bottom w:val="single" w:sz="4" w:space="0" w:color="auto"/>
              <w:right w:val="nil"/>
            </w:tcBorders>
            <w:vAlign w:val="bottom"/>
          </w:tcPr>
          <w:p w14:paraId="1B7FB21B" w14:textId="4CB16EB1" w:rsidR="00531F5D" w:rsidRPr="00531F5D" w:rsidRDefault="00531F5D" w:rsidP="00531F5D">
            <w:pPr>
              <w:jc w:val="center"/>
              <w:rPr>
                <w:sz w:val="18"/>
                <w:szCs w:val="18"/>
              </w:rPr>
            </w:pPr>
            <w:r w:rsidRPr="00531F5D">
              <w:rPr>
                <w:sz w:val="18"/>
                <w:szCs w:val="18"/>
              </w:rPr>
              <w:t>National Average</w:t>
            </w:r>
          </w:p>
        </w:tc>
        <w:tc>
          <w:tcPr>
            <w:tcW w:w="1008" w:type="dxa"/>
            <w:tcBorders>
              <w:top w:val="nil"/>
              <w:left w:val="nil"/>
              <w:bottom w:val="single" w:sz="4" w:space="0" w:color="auto"/>
              <w:right w:val="nil"/>
            </w:tcBorders>
            <w:vAlign w:val="bottom"/>
          </w:tcPr>
          <w:p w14:paraId="0CE06CE2" w14:textId="73EF9AD1" w:rsidR="00531F5D" w:rsidRPr="00531F5D" w:rsidRDefault="00531F5D" w:rsidP="00531F5D">
            <w:pPr>
              <w:jc w:val="center"/>
              <w:rPr>
                <w:sz w:val="18"/>
                <w:szCs w:val="18"/>
              </w:rPr>
            </w:pPr>
            <w:r w:rsidRPr="00531F5D">
              <w:rPr>
                <w:sz w:val="18"/>
                <w:szCs w:val="18"/>
              </w:rPr>
              <w:t>National Standard Deviation</w:t>
            </w:r>
          </w:p>
        </w:tc>
        <w:tc>
          <w:tcPr>
            <w:tcW w:w="1027" w:type="dxa"/>
            <w:tcBorders>
              <w:top w:val="nil"/>
              <w:left w:val="nil"/>
              <w:bottom w:val="single" w:sz="4" w:space="0" w:color="auto"/>
              <w:right w:val="nil"/>
            </w:tcBorders>
            <w:vAlign w:val="bottom"/>
          </w:tcPr>
          <w:p w14:paraId="18BDE0FD" w14:textId="660C7CA1" w:rsidR="00531F5D" w:rsidRPr="00531F5D" w:rsidRDefault="00531F5D" w:rsidP="00531F5D">
            <w:pPr>
              <w:jc w:val="center"/>
              <w:rPr>
                <w:sz w:val="18"/>
                <w:szCs w:val="18"/>
              </w:rPr>
            </w:pPr>
            <w:r w:rsidRPr="00531F5D">
              <w:rPr>
                <w:sz w:val="18"/>
                <w:szCs w:val="18"/>
              </w:rPr>
              <w:t>Difference</w:t>
            </w:r>
          </w:p>
        </w:tc>
        <w:tc>
          <w:tcPr>
            <w:tcW w:w="1152" w:type="dxa"/>
            <w:tcBorders>
              <w:top w:val="nil"/>
              <w:left w:val="nil"/>
              <w:bottom w:val="single" w:sz="4" w:space="0" w:color="auto"/>
              <w:right w:val="nil"/>
            </w:tcBorders>
            <w:vAlign w:val="bottom"/>
          </w:tcPr>
          <w:p w14:paraId="476CF6F1" w14:textId="7CBB88CA" w:rsidR="00531F5D" w:rsidRPr="00531F5D" w:rsidRDefault="00531F5D" w:rsidP="00531F5D">
            <w:pPr>
              <w:jc w:val="center"/>
              <w:rPr>
                <w:sz w:val="18"/>
                <w:szCs w:val="18"/>
              </w:rPr>
            </w:pPr>
            <w:r w:rsidRPr="00531F5D">
              <w:rPr>
                <w:sz w:val="18"/>
                <w:szCs w:val="18"/>
              </w:rPr>
              <w:t>Target Achieved?</w:t>
            </w:r>
          </w:p>
        </w:tc>
      </w:tr>
      <w:tr w:rsidR="00531F5D" w14:paraId="7DB62C9D" w14:textId="77777777" w:rsidTr="00531F5D">
        <w:tc>
          <w:tcPr>
            <w:tcW w:w="1728" w:type="dxa"/>
            <w:tcBorders>
              <w:top w:val="single" w:sz="4" w:space="0" w:color="auto"/>
            </w:tcBorders>
          </w:tcPr>
          <w:p w14:paraId="40752286" w14:textId="6FC97A7E" w:rsidR="00531F5D" w:rsidRDefault="00531F5D" w:rsidP="00531F5D">
            <w:pPr>
              <w:rPr>
                <w:sz w:val="22"/>
                <w:szCs w:val="22"/>
              </w:rPr>
            </w:pPr>
            <w:r>
              <w:rPr>
                <w:sz w:val="22"/>
                <w:szCs w:val="22"/>
              </w:rPr>
              <w:t>Fall 2024</w:t>
            </w:r>
          </w:p>
        </w:tc>
        <w:tc>
          <w:tcPr>
            <w:tcW w:w="2448" w:type="dxa"/>
            <w:tcBorders>
              <w:top w:val="single" w:sz="4" w:space="0" w:color="auto"/>
            </w:tcBorders>
          </w:tcPr>
          <w:p w14:paraId="68BA4838" w14:textId="2F4C98E7" w:rsidR="00531F5D" w:rsidRDefault="00531F5D" w:rsidP="00531F5D">
            <w:pPr>
              <w:rPr>
                <w:sz w:val="22"/>
                <w:szCs w:val="22"/>
              </w:rPr>
            </w:pPr>
            <w:r>
              <w:rPr>
                <w:sz w:val="22"/>
                <w:szCs w:val="22"/>
              </w:rPr>
              <w:t>CMHC, NCC (NBCC)</w:t>
            </w:r>
          </w:p>
        </w:tc>
        <w:tc>
          <w:tcPr>
            <w:tcW w:w="1008" w:type="dxa"/>
            <w:tcBorders>
              <w:top w:val="single" w:sz="4" w:space="0" w:color="auto"/>
            </w:tcBorders>
            <w:vAlign w:val="center"/>
          </w:tcPr>
          <w:p w14:paraId="4D716881" w14:textId="6F753F10" w:rsidR="00531F5D" w:rsidRDefault="00531F5D" w:rsidP="00531F5D">
            <w:pPr>
              <w:jc w:val="center"/>
              <w:rPr>
                <w:sz w:val="22"/>
                <w:szCs w:val="22"/>
              </w:rPr>
            </w:pPr>
            <w:r>
              <w:rPr>
                <w:sz w:val="22"/>
                <w:szCs w:val="22"/>
              </w:rPr>
              <w:t>105.4</w:t>
            </w:r>
          </w:p>
        </w:tc>
        <w:tc>
          <w:tcPr>
            <w:tcW w:w="1008" w:type="dxa"/>
            <w:tcBorders>
              <w:top w:val="single" w:sz="4" w:space="0" w:color="auto"/>
            </w:tcBorders>
            <w:vAlign w:val="center"/>
          </w:tcPr>
          <w:p w14:paraId="12C306BD" w14:textId="3C74A78A" w:rsidR="00531F5D" w:rsidRDefault="00531F5D" w:rsidP="00531F5D">
            <w:pPr>
              <w:jc w:val="center"/>
              <w:rPr>
                <w:sz w:val="22"/>
                <w:szCs w:val="22"/>
              </w:rPr>
            </w:pPr>
            <w:r>
              <w:rPr>
                <w:sz w:val="22"/>
                <w:szCs w:val="22"/>
              </w:rPr>
              <w:t>108.4</w:t>
            </w:r>
          </w:p>
        </w:tc>
        <w:tc>
          <w:tcPr>
            <w:tcW w:w="1008" w:type="dxa"/>
            <w:tcBorders>
              <w:top w:val="single" w:sz="4" w:space="0" w:color="auto"/>
            </w:tcBorders>
            <w:vAlign w:val="center"/>
          </w:tcPr>
          <w:p w14:paraId="5EE64D63" w14:textId="69A5D9ED" w:rsidR="00531F5D" w:rsidRDefault="00531F5D" w:rsidP="00531F5D">
            <w:pPr>
              <w:jc w:val="center"/>
              <w:rPr>
                <w:sz w:val="22"/>
                <w:szCs w:val="22"/>
              </w:rPr>
            </w:pPr>
            <w:r>
              <w:rPr>
                <w:sz w:val="22"/>
                <w:szCs w:val="22"/>
              </w:rPr>
              <w:t>17.2</w:t>
            </w:r>
          </w:p>
        </w:tc>
        <w:tc>
          <w:tcPr>
            <w:tcW w:w="1027" w:type="dxa"/>
            <w:tcBorders>
              <w:top w:val="single" w:sz="4" w:space="0" w:color="auto"/>
            </w:tcBorders>
            <w:vAlign w:val="center"/>
          </w:tcPr>
          <w:p w14:paraId="4433A8CE" w14:textId="51027723" w:rsidR="00531F5D" w:rsidRDefault="00531F5D" w:rsidP="00531F5D">
            <w:pPr>
              <w:jc w:val="center"/>
              <w:rPr>
                <w:sz w:val="22"/>
                <w:szCs w:val="22"/>
              </w:rPr>
            </w:pPr>
            <w:r>
              <w:rPr>
                <w:sz w:val="22"/>
                <w:szCs w:val="22"/>
              </w:rPr>
              <w:t>-3.0</w:t>
            </w:r>
          </w:p>
        </w:tc>
        <w:tc>
          <w:tcPr>
            <w:tcW w:w="1152" w:type="dxa"/>
            <w:tcBorders>
              <w:top w:val="single" w:sz="4" w:space="0" w:color="auto"/>
            </w:tcBorders>
            <w:vAlign w:val="center"/>
          </w:tcPr>
          <w:p w14:paraId="0CDFB883" w14:textId="3DD97C39" w:rsidR="00531F5D" w:rsidRDefault="00531F5D" w:rsidP="00531F5D">
            <w:pPr>
              <w:jc w:val="center"/>
              <w:rPr>
                <w:sz w:val="22"/>
                <w:szCs w:val="22"/>
              </w:rPr>
            </w:pPr>
            <w:r>
              <w:rPr>
                <w:sz w:val="22"/>
                <w:szCs w:val="22"/>
              </w:rPr>
              <w:t>Yes</w:t>
            </w:r>
          </w:p>
        </w:tc>
      </w:tr>
      <w:tr w:rsidR="00531F5D" w14:paraId="62B4E566" w14:textId="77777777" w:rsidTr="00531F5D">
        <w:tc>
          <w:tcPr>
            <w:tcW w:w="1728" w:type="dxa"/>
          </w:tcPr>
          <w:p w14:paraId="4E2F3095" w14:textId="67D34F44" w:rsidR="00531F5D" w:rsidRDefault="00531F5D" w:rsidP="00531F5D">
            <w:pPr>
              <w:rPr>
                <w:sz w:val="22"/>
                <w:szCs w:val="22"/>
              </w:rPr>
            </w:pPr>
            <w:r>
              <w:rPr>
                <w:sz w:val="22"/>
                <w:szCs w:val="22"/>
              </w:rPr>
              <w:t>Spring 2024</w:t>
            </w:r>
          </w:p>
        </w:tc>
        <w:tc>
          <w:tcPr>
            <w:tcW w:w="2448" w:type="dxa"/>
          </w:tcPr>
          <w:p w14:paraId="0367962E" w14:textId="3D14B266" w:rsidR="00531F5D" w:rsidRDefault="00531F5D" w:rsidP="00531F5D">
            <w:pPr>
              <w:rPr>
                <w:sz w:val="22"/>
                <w:szCs w:val="22"/>
              </w:rPr>
            </w:pPr>
            <w:r>
              <w:rPr>
                <w:sz w:val="22"/>
                <w:szCs w:val="22"/>
              </w:rPr>
              <w:t>SC, NCC (NBCC)</w:t>
            </w:r>
          </w:p>
        </w:tc>
        <w:tc>
          <w:tcPr>
            <w:tcW w:w="1008" w:type="dxa"/>
            <w:vAlign w:val="center"/>
          </w:tcPr>
          <w:p w14:paraId="37F91237" w14:textId="6347F1CD" w:rsidR="00531F5D" w:rsidRDefault="00531F5D" w:rsidP="00531F5D">
            <w:pPr>
              <w:jc w:val="center"/>
              <w:rPr>
                <w:sz w:val="22"/>
                <w:szCs w:val="22"/>
              </w:rPr>
            </w:pPr>
            <w:r>
              <w:rPr>
                <w:sz w:val="22"/>
                <w:szCs w:val="22"/>
              </w:rPr>
              <w:t>90.5</w:t>
            </w:r>
          </w:p>
        </w:tc>
        <w:tc>
          <w:tcPr>
            <w:tcW w:w="1008" w:type="dxa"/>
            <w:vAlign w:val="center"/>
          </w:tcPr>
          <w:p w14:paraId="693CA7F6" w14:textId="28478DA2" w:rsidR="00531F5D" w:rsidRDefault="00531F5D" w:rsidP="00531F5D">
            <w:pPr>
              <w:jc w:val="center"/>
              <w:rPr>
                <w:sz w:val="22"/>
                <w:szCs w:val="22"/>
              </w:rPr>
            </w:pPr>
            <w:r>
              <w:rPr>
                <w:sz w:val="22"/>
                <w:szCs w:val="22"/>
              </w:rPr>
              <w:t>112.5</w:t>
            </w:r>
          </w:p>
        </w:tc>
        <w:tc>
          <w:tcPr>
            <w:tcW w:w="1008" w:type="dxa"/>
            <w:vAlign w:val="center"/>
          </w:tcPr>
          <w:p w14:paraId="57047C5B" w14:textId="0687DDFA" w:rsidR="00531F5D" w:rsidRDefault="00531F5D" w:rsidP="00531F5D">
            <w:pPr>
              <w:jc w:val="center"/>
              <w:rPr>
                <w:sz w:val="22"/>
                <w:szCs w:val="22"/>
              </w:rPr>
            </w:pPr>
            <w:r>
              <w:rPr>
                <w:sz w:val="22"/>
                <w:szCs w:val="22"/>
              </w:rPr>
              <w:t>17.1</w:t>
            </w:r>
          </w:p>
        </w:tc>
        <w:tc>
          <w:tcPr>
            <w:tcW w:w="1027" w:type="dxa"/>
            <w:vAlign w:val="center"/>
          </w:tcPr>
          <w:p w14:paraId="62238FCA" w14:textId="3A4334D2" w:rsidR="00531F5D" w:rsidRDefault="00531F5D" w:rsidP="00531F5D">
            <w:pPr>
              <w:jc w:val="center"/>
              <w:rPr>
                <w:sz w:val="22"/>
                <w:szCs w:val="22"/>
              </w:rPr>
            </w:pPr>
            <w:r>
              <w:rPr>
                <w:sz w:val="22"/>
                <w:szCs w:val="22"/>
              </w:rPr>
              <w:t>-22</w:t>
            </w:r>
          </w:p>
        </w:tc>
        <w:tc>
          <w:tcPr>
            <w:tcW w:w="1152" w:type="dxa"/>
            <w:vAlign w:val="center"/>
          </w:tcPr>
          <w:p w14:paraId="09502555" w14:textId="27B3E43C" w:rsidR="00531F5D" w:rsidRDefault="00531F5D" w:rsidP="00531F5D">
            <w:pPr>
              <w:jc w:val="center"/>
              <w:rPr>
                <w:sz w:val="22"/>
                <w:szCs w:val="22"/>
              </w:rPr>
            </w:pPr>
            <w:r>
              <w:rPr>
                <w:sz w:val="22"/>
                <w:szCs w:val="22"/>
              </w:rPr>
              <w:t>No</w:t>
            </w:r>
          </w:p>
        </w:tc>
      </w:tr>
    </w:tbl>
    <w:p w14:paraId="240A97C8" w14:textId="77777777" w:rsidR="00531F5D" w:rsidRDefault="00531F5D" w:rsidP="00531F5D">
      <w:pPr>
        <w:rPr>
          <w:sz w:val="22"/>
          <w:szCs w:val="22"/>
        </w:rPr>
      </w:pPr>
    </w:p>
    <w:p w14:paraId="206AF088" w14:textId="2E2FD2CF" w:rsidR="00FC394E" w:rsidRDefault="00FC394E" w:rsidP="00FC394E">
      <w:pPr>
        <w:pStyle w:val="ListParagraph"/>
        <w:numPr>
          <w:ilvl w:val="0"/>
          <w:numId w:val="3"/>
        </w:numPr>
        <w:rPr>
          <w:sz w:val="22"/>
          <w:szCs w:val="22"/>
        </w:rPr>
      </w:pPr>
      <w:r w:rsidRPr="00FC394E">
        <w:rPr>
          <w:sz w:val="22"/>
          <w:szCs w:val="22"/>
        </w:rPr>
        <w:t xml:space="preserve">Graduates will develop and demonstrate counseling skills that allow them to work empathically and ethically with diverse clients in a variety of counseling settings. </w:t>
      </w:r>
    </w:p>
    <w:p w14:paraId="265EB4B0" w14:textId="60535B14" w:rsidR="00531F5D" w:rsidRDefault="00531F5D" w:rsidP="00531F5D">
      <w:pPr>
        <w:pStyle w:val="ListParagraph"/>
        <w:numPr>
          <w:ilvl w:val="1"/>
          <w:numId w:val="3"/>
        </w:numPr>
        <w:rPr>
          <w:sz w:val="22"/>
          <w:szCs w:val="22"/>
        </w:rPr>
      </w:pPr>
      <w:r>
        <w:rPr>
          <w:sz w:val="22"/>
          <w:szCs w:val="22"/>
        </w:rPr>
        <w:t xml:space="preserve">Metric: </w:t>
      </w:r>
      <w:r w:rsidR="009771C2">
        <w:rPr>
          <w:sz w:val="22"/>
          <w:szCs w:val="22"/>
        </w:rPr>
        <w:t>Score for Student Disposition Rating Form, Question 4, “</w:t>
      </w:r>
      <w:r w:rsidR="009771C2">
        <w:rPr>
          <w:i/>
          <w:iCs/>
          <w:sz w:val="22"/>
          <w:szCs w:val="22"/>
        </w:rPr>
        <w:t>Displays the ability to work with diverse individuals.”</w:t>
      </w:r>
    </w:p>
    <w:p w14:paraId="1A467DB6" w14:textId="642457ED" w:rsidR="00531F5D" w:rsidRDefault="00531F5D" w:rsidP="00531F5D">
      <w:pPr>
        <w:pStyle w:val="ListParagraph"/>
        <w:numPr>
          <w:ilvl w:val="1"/>
          <w:numId w:val="3"/>
        </w:numPr>
        <w:rPr>
          <w:sz w:val="22"/>
          <w:szCs w:val="22"/>
        </w:rPr>
      </w:pPr>
      <w:r>
        <w:rPr>
          <w:sz w:val="22"/>
          <w:szCs w:val="22"/>
        </w:rPr>
        <w:t xml:space="preserve">Target: </w:t>
      </w:r>
      <w:r w:rsidR="009771C2">
        <w:rPr>
          <w:sz w:val="22"/>
          <w:szCs w:val="22"/>
        </w:rPr>
        <w:t xml:space="preserve">Aggregate scores for all students will be equal to, or above a 3 (“Meets Expectations”) out of 5. </w:t>
      </w:r>
    </w:p>
    <w:p w14:paraId="61B98CE2" w14:textId="77777777" w:rsidR="00531F5D" w:rsidRDefault="00531F5D" w:rsidP="00531F5D">
      <w:pPr>
        <w:rPr>
          <w:sz w:val="22"/>
          <w:szCs w:val="22"/>
        </w:rPr>
      </w:pPr>
    </w:p>
    <w:tbl>
      <w:tblPr>
        <w:tblStyle w:val="TableGrid"/>
        <w:tblW w:w="4896" w:type="dxa"/>
        <w:tblInd w:w="1440" w:type="dxa"/>
        <w:tblLook w:val="04A0" w:firstRow="1" w:lastRow="0" w:firstColumn="1" w:lastColumn="0" w:noHBand="0" w:noVBand="1"/>
      </w:tblPr>
      <w:tblGrid>
        <w:gridCol w:w="1728"/>
        <w:gridCol w:w="1008"/>
        <w:gridCol w:w="1008"/>
        <w:gridCol w:w="1152"/>
      </w:tblGrid>
      <w:tr w:rsidR="009771C2" w:rsidRPr="00531F5D" w14:paraId="4A1A8E84" w14:textId="77777777" w:rsidTr="00BA5BC3">
        <w:tc>
          <w:tcPr>
            <w:tcW w:w="1728" w:type="dxa"/>
            <w:tcBorders>
              <w:top w:val="nil"/>
              <w:left w:val="nil"/>
              <w:bottom w:val="single" w:sz="4" w:space="0" w:color="auto"/>
              <w:right w:val="nil"/>
            </w:tcBorders>
            <w:vAlign w:val="bottom"/>
          </w:tcPr>
          <w:p w14:paraId="2FB9EFBA" w14:textId="77777777" w:rsidR="009771C2" w:rsidRPr="00531F5D" w:rsidRDefault="009771C2" w:rsidP="00BA5BC3">
            <w:pPr>
              <w:jc w:val="center"/>
              <w:rPr>
                <w:sz w:val="18"/>
                <w:szCs w:val="18"/>
              </w:rPr>
            </w:pPr>
            <w:r w:rsidRPr="00531F5D">
              <w:rPr>
                <w:sz w:val="18"/>
                <w:szCs w:val="18"/>
              </w:rPr>
              <w:t>Semester of Testing</w:t>
            </w:r>
          </w:p>
        </w:tc>
        <w:tc>
          <w:tcPr>
            <w:tcW w:w="1008" w:type="dxa"/>
            <w:tcBorders>
              <w:top w:val="nil"/>
              <w:left w:val="nil"/>
              <w:bottom w:val="single" w:sz="4" w:space="0" w:color="auto"/>
              <w:right w:val="nil"/>
            </w:tcBorders>
            <w:vAlign w:val="bottom"/>
          </w:tcPr>
          <w:p w14:paraId="0B2E6DB1" w14:textId="77777777" w:rsidR="009771C2" w:rsidRPr="00531F5D" w:rsidRDefault="009771C2" w:rsidP="00BA5BC3">
            <w:pPr>
              <w:jc w:val="center"/>
              <w:rPr>
                <w:sz w:val="18"/>
                <w:szCs w:val="18"/>
              </w:rPr>
            </w:pPr>
            <w:r>
              <w:rPr>
                <w:sz w:val="18"/>
                <w:szCs w:val="18"/>
              </w:rPr>
              <w:t>Aggregate</w:t>
            </w:r>
          </w:p>
        </w:tc>
        <w:tc>
          <w:tcPr>
            <w:tcW w:w="1008" w:type="dxa"/>
            <w:tcBorders>
              <w:top w:val="nil"/>
              <w:left w:val="nil"/>
              <w:bottom w:val="single" w:sz="4" w:space="0" w:color="auto"/>
              <w:right w:val="nil"/>
            </w:tcBorders>
            <w:vAlign w:val="bottom"/>
          </w:tcPr>
          <w:p w14:paraId="0F32DED8" w14:textId="77777777" w:rsidR="009771C2" w:rsidRPr="00531F5D" w:rsidRDefault="009771C2" w:rsidP="00BA5BC3">
            <w:pPr>
              <w:jc w:val="center"/>
              <w:rPr>
                <w:sz w:val="18"/>
                <w:szCs w:val="18"/>
              </w:rPr>
            </w:pPr>
            <w:r>
              <w:rPr>
                <w:sz w:val="18"/>
                <w:szCs w:val="18"/>
              </w:rPr>
              <w:t>Standard Deviation</w:t>
            </w:r>
          </w:p>
        </w:tc>
        <w:tc>
          <w:tcPr>
            <w:tcW w:w="1152" w:type="dxa"/>
            <w:tcBorders>
              <w:top w:val="nil"/>
              <w:left w:val="nil"/>
              <w:bottom w:val="single" w:sz="4" w:space="0" w:color="auto"/>
              <w:right w:val="nil"/>
            </w:tcBorders>
            <w:vAlign w:val="bottom"/>
          </w:tcPr>
          <w:p w14:paraId="2D9BB925" w14:textId="77777777" w:rsidR="009771C2" w:rsidRPr="00531F5D" w:rsidRDefault="009771C2" w:rsidP="00BA5BC3">
            <w:pPr>
              <w:jc w:val="center"/>
              <w:rPr>
                <w:sz w:val="18"/>
                <w:szCs w:val="18"/>
              </w:rPr>
            </w:pPr>
            <w:r w:rsidRPr="00531F5D">
              <w:rPr>
                <w:sz w:val="18"/>
                <w:szCs w:val="18"/>
              </w:rPr>
              <w:t>Target Achieved?</w:t>
            </w:r>
          </w:p>
        </w:tc>
      </w:tr>
      <w:tr w:rsidR="009771C2" w14:paraId="3F82A15A" w14:textId="77777777" w:rsidTr="00BA5BC3">
        <w:tc>
          <w:tcPr>
            <w:tcW w:w="1728" w:type="dxa"/>
            <w:tcBorders>
              <w:top w:val="single" w:sz="4" w:space="0" w:color="auto"/>
            </w:tcBorders>
          </w:tcPr>
          <w:p w14:paraId="77DA4221" w14:textId="77777777" w:rsidR="009771C2" w:rsidRDefault="009771C2" w:rsidP="00BA5BC3">
            <w:pPr>
              <w:rPr>
                <w:sz w:val="22"/>
                <w:szCs w:val="22"/>
              </w:rPr>
            </w:pPr>
            <w:r>
              <w:rPr>
                <w:sz w:val="22"/>
                <w:szCs w:val="22"/>
              </w:rPr>
              <w:t>Fall 2024</w:t>
            </w:r>
          </w:p>
        </w:tc>
        <w:tc>
          <w:tcPr>
            <w:tcW w:w="1008" w:type="dxa"/>
            <w:tcBorders>
              <w:top w:val="single" w:sz="4" w:space="0" w:color="auto"/>
            </w:tcBorders>
            <w:vAlign w:val="center"/>
          </w:tcPr>
          <w:p w14:paraId="0B27E693" w14:textId="07CA0D8E" w:rsidR="009771C2" w:rsidRDefault="009771C2" w:rsidP="00BA5BC3">
            <w:pPr>
              <w:jc w:val="center"/>
              <w:rPr>
                <w:sz w:val="22"/>
                <w:szCs w:val="22"/>
              </w:rPr>
            </w:pPr>
            <w:r>
              <w:rPr>
                <w:sz w:val="22"/>
                <w:szCs w:val="22"/>
              </w:rPr>
              <w:t>3.33</w:t>
            </w:r>
          </w:p>
        </w:tc>
        <w:tc>
          <w:tcPr>
            <w:tcW w:w="1008" w:type="dxa"/>
            <w:tcBorders>
              <w:top w:val="single" w:sz="4" w:space="0" w:color="auto"/>
            </w:tcBorders>
            <w:vAlign w:val="center"/>
          </w:tcPr>
          <w:p w14:paraId="14C54F2D" w14:textId="69245390" w:rsidR="009771C2" w:rsidRDefault="009771C2" w:rsidP="00BA5BC3">
            <w:pPr>
              <w:jc w:val="center"/>
              <w:rPr>
                <w:sz w:val="22"/>
                <w:szCs w:val="22"/>
              </w:rPr>
            </w:pPr>
            <w:r>
              <w:rPr>
                <w:sz w:val="22"/>
                <w:szCs w:val="22"/>
              </w:rPr>
              <w:t>.72</w:t>
            </w:r>
          </w:p>
        </w:tc>
        <w:tc>
          <w:tcPr>
            <w:tcW w:w="1152" w:type="dxa"/>
            <w:tcBorders>
              <w:top w:val="single" w:sz="4" w:space="0" w:color="auto"/>
            </w:tcBorders>
            <w:vAlign w:val="center"/>
          </w:tcPr>
          <w:p w14:paraId="707B268B" w14:textId="77777777" w:rsidR="009771C2" w:rsidRDefault="009771C2" w:rsidP="00BA5BC3">
            <w:pPr>
              <w:jc w:val="center"/>
              <w:rPr>
                <w:sz w:val="22"/>
                <w:szCs w:val="22"/>
              </w:rPr>
            </w:pPr>
            <w:r>
              <w:rPr>
                <w:sz w:val="22"/>
                <w:szCs w:val="22"/>
              </w:rPr>
              <w:t>Yes</w:t>
            </w:r>
          </w:p>
        </w:tc>
      </w:tr>
      <w:tr w:rsidR="009771C2" w14:paraId="10E22BC7" w14:textId="77777777" w:rsidTr="00BA5BC3">
        <w:tc>
          <w:tcPr>
            <w:tcW w:w="1728" w:type="dxa"/>
          </w:tcPr>
          <w:p w14:paraId="1174C11B" w14:textId="77777777" w:rsidR="009771C2" w:rsidRDefault="009771C2" w:rsidP="00BA5BC3">
            <w:pPr>
              <w:rPr>
                <w:sz w:val="22"/>
                <w:szCs w:val="22"/>
              </w:rPr>
            </w:pPr>
            <w:r>
              <w:rPr>
                <w:sz w:val="22"/>
                <w:szCs w:val="22"/>
              </w:rPr>
              <w:t>Spring 2025</w:t>
            </w:r>
          </w:p>
        </w:tc>
        <w:tc>
          <w:tcPr>
            <w:tcW w:w="1008" w:type="dxa"/>
            <w:vAlign w:val="center"/>
          </w:tcPr>
          <w:p w14:paraId="4720E041" w14:textId="21384203" w:rsidR="009771C2" w:rsidRDefault="009771C2" w:rsidP="00BA5BC3">
            <w:pPr>
              <w:jc w:val="center"/>
              <w:rPr>
                <w:sz w:val="22"/>
                <w:szCs w:val="22"/>
              </w:rPr>
            </w:pPr>
            <w:r>
              <w:rPr>
                <w:sz w:val="22"/>
                <w:szCs w:val="22"/>
              </w:rPr>
              <w:t>3.38</w:t>
            </w:r>
          </w:p>
        </w:tc>
        <w:tc>
          <w:tcPr>
            <w:tcW w:w="1008" w:type="dxa"/>
            <w:vAlign w:val="center"/>
          </w:tcPr>
          <w:p w14:paraId="53480756" w14:textId="39778790" w:rsidR="009771C2" w:rsidRDefault="009771C2" w:rsidP="00BA5BC3">
            <w:pPr>
              <w:jc w:val="center"/>
              <w:rPr>
                <w:sz w:val="22"/>
                <w:szCs w:val="22"/>
              </w:rPr>
            </w:pPr>
            <w:r>
              <w:rPr>
                <w:sz w:val="22"/>
                <w:szCs w:val="22"/>
              </w:rPr>
              <w:t>.64</w:t>
            </w:r>
          </w:p>
        </w:tc>
        <w:tc>
          <w:tcPr>
            <w:tcW w:w="1152" w:type="dxa"/>
            <w:vAlign w:val="center"/>
          </w:tcPr>
          <w:p w14:paraId="0D4E5366" w14:textId="77777777" w:rsidR="009771C2" w:rsidRDefault="009771C2" w:rsidP="00BA5BC3">
            <w:pPr>
              <w:jc w:val="center"/>
              <w:rPr>
                <w:sz w:val="22"/>
                <w:szCs w:val="22"/>
              </w:rPr>
            </w:pPr>
            <w:r>
              <w:rPr>
                <w:sz w:val="22"/>
                <w:szCs w:val="22"/>
              </w:rPr>
              <w:t>Yes</w:t>
            </w:r>
          </w:p>
        </w:tc>
      </w:tr>
      <w:tr w:rsidR="009771C2" w14:paraId="5B2F799E" w14:textId="77777777" w:rsidTr="00BA5BC3">
        <w:tc>
          <w:tcPr>
            <w:tcW w:w="1728" w:type="dxa"/>
          </w:tcPr>
          <w:p w14:paraId="4FB61BDA" w14:textId="77777777" w:rsidR="009771C2" w:rsidRDefault="009771C2" w:rsidP="00BA5BC3">
            <w:pPr>
              <w:rPr>
                <w:sz w:val="22"/>
                <w:szCs w:val="22"/>
              </w:rPr>
            </w:pPr>
            <w:r>
              <w:rPr>
                <w:sz w:val="22"/>
                <w:szCs w:val="22"/>
              </w:rPr>
              <w:t>Summer 2025</w:t>
            </w:r>
          </w:p>
        </w:tc>
        <w:tc>
          <w:tcPr>
            <w:tcW w:w="1008" w:type="dxa"/>
            <w:vAlign w:val="center"/>
          </w:tcPr>
          <w:p w14:paraId="18575AA1" w14:textId="760BFC4F" w:rsidR="009771C2" w:rsidRDefault="009771C2" w:rsidP="00BA5BC3">
            <w:pPr>
              <w:jc w:val="center"/>
              <w:rPr>
                <w:sz w:val="22"/>
                <w:szCs w:val="22"/>
              </w:rPr>
            </w:pPr>
            <w:r>
              <w:rPr>
                <w:sz w:val="22"/>
                <w:szCs w:val="22"/>
              </w:rPr>
              <w:t>3.29</w:t>
            </w:r>
          </w:p>
        </w:tc>
        <w:tc>
          <w:tcPr>
            <w:tcW w:w="1008" w:type="dxa"/>
            <w:vAlign w:val="center"/>
          </w:tcPr>
          <w:p w14:paraId="6A3CA38F" w14:textId="29CCF544" w:rsidR="009771C2" w:rsidRDefault="009771C2" w:rsidP="00BA5BC3">
            <w:pPr>
              <w:jc w:val="center"/>
              <w:rPr>
                <w:sz w:val="22"/>
                <w:szCs w:val="22"/>
              </w:rPr>
            </w:pPr>
            <w:r>
              <w:rPr>
                <w:sz w:val="22"/>
                <w:szCs w:val="22"/>
              </w:rPr>
              <w:t>.76</w:t>
            </w:r>
          </w:p>
        </w:tc>
        <w:tc>
          <w:tcPr>
            <w:tcW w:w="1152" w:type="dxa"/>
            <w:vAlign w:val="center"/>
          </w:tcPr>
          <w:p w14:paraId="335B9352" w14:textId="77777777" w:rsidR="009771C2" w:rsidRDefault="009771C2" w:rsidP="00BA5BC3">
            <w:pPr>
              <w:jc w:val="center"/>
              <w:rPr>
                <w:sz w:val="22"/>
                <w:szCs w:val="22"/>
              </w:rPr>
            </w:pPr>
            <w:r>
              <w:rPr>
                <w:sz w:val="22"/>
                <w:szCs w:val="22"/>
              </w:rPr>
              <w:t>Yes</w:t>
            </w:r>
          </w:p>
        </w:tc>
      </w:tr>
    </w:tbl>
    <w:p w14:paraId="32BDA043" w14:textId="77777777" w:rsidR="009771C2" w:rsidRPr="00531F5D" w:rsidRDefault="009771C2" w:rsidP="00531F5D">
      <w:pPr>
        <w:rPr>
          <w:sz w:val="22"/>
          <w:szCs w:val="22"/>
        </w:rPr>
      </w:pPr>
    </w:p>
    <w:p w14:paraId="535EEA1E" w14:textId="7CFB9721" w:rsidR="00531F5D" w:rsidRDefault="00FC394E" w:rsidP="00531F5D">
      <w:pPr>
        <w:pStyle w:val="ListParagraph"/>
        <w:numPr>
          <w:ilvl w:val="0"/>
          <w:numId w:val="3"/>
        </w:numPr>
        <w:rPr>
          <w:sz w:val="22"/>
          <w:szCs w:val="22"/>
        </w:rPr>
      </w:pPr>
      <w:r w:rsidRPr="00FC394E">
        <w:rPr>
          <w:sz w:val="22"/>
          <w:szCs w:val="22"/>
        </w:rPr>
        <w:t xml:space="preserve">Graduates will demonstrate professional dispositions that include self-awareness, respect, openness to constructive feedback, reliability, professionalism and ethical actions. </w:t>
      </w:r>
    </w:p>
    <w:p w14:paraId="0BA1F8B1" w14:textId="7EF49C72" w:rsidR="00531F5D" w:rsidRDefault="00531F5D" w:rsidP="00531F5D">
      <w:pPr>
        <w:pStyle w:val="ListParagraph"/>
        <w:numPr>
          <w:ilvl w:val="1"/>
          <w:numId w:val="3"/>
        </w:numPr>
        <w:rPr>
          <w:sz w:val="22"/>
          <w:szCs w:val="22"/>
        </w:rPr>
      </w:pPr>
      <w:r>
        <w:rPr>
          <w:sz w:val="22"/>
          <w:szCs w:val="22"/>
        </w:rPr>
        <w:t>Metric: Student Disposition Rating Form, Overall Score</w:t>
      </w:r>
    </w:p>
    <w:p w14:paraId="5FCE5F43" w14:textId="039410BB" w:rsidR="00531F5D" w:rsidRDefault="00531F5D" w:rsidP="00531F5D">
      <w:pPr>
        <w:pStyle w:val="ListParagraph"/>
        <w:numPr>
          <w:ilvl w:val="1"/>
          <w:numId w:val="3"/>
        </w:numPr>
        <w:rPr>
          <w:sz w:val="22"/>
          <w:szCs w:val="22"/>
        </w:rPr>
      </w:pPr>
      <w:r>
        <w:rPr>
          <w:sz w:val="22"/>
          <w:szCs w:val="22"/>
        </w:rPr>
        <w:lastRenderedPageBreak/>
        <w:t xml:space="preserve">Target: </w:t>
      </w:r>
      <w:r w:rsidR="002A60AD">
        <w:rPr>
          <w:sz w:val="22"/>
          <w:szCs w:val="22"/>
        </w:rPr>
        <w:t xml:space="preserve">Aggregate scores for all students will be equal to, or above a 3 (“Meets Expectations”) out of 5. </w:t>
      </w:r>
    </w:p>
    <w:p w14:paraId="2469D876" w14:textId="77777777" w:rsidR="00531F5D" w:rsidRDefault="00531F5D" w:rsidP="00531F5D">
      <w:pPr>
        <w:pStyle w:val="ListParagraph"/>
        <w:rPr>
          <w:sz w:val="22"/>
          <w:szCs w:val="22"/>
        </w:rPr>
      </w:pPr>
    </w:p>
    <w:tbl>
      <w:tblPr>
        <w:tblStyle w:val="TableGrid"/>
        <w:tblW w:w="4896" w:type="dxa"/>
        <w:tblInd w:w="1440" w:type="dxa"/>
        <w:tblLook w:val="04A0" w:firstRow="1" w:lastRow="0" w:firstColumn="1" w:lastColumn="0" w:noHBand="0" w:noVBand="1"/>
      </w:tblPr>
      <w:tblGrid>
        <w:gridCol w:w="1728"/>
        <w:gridCol w:w="1008"/>
        <w:gridCol w:w="1008"/>
        <w:gridCol w:w="1152"/>
      </w:tblGrid>
      <w:tr w:rsidR="002A60AD" w:rsidRPr="00531F5D" w14:paraId="38E37359" w14:textId="77777777" w:rsidTr="002A60AD">
        <w:tc>
          <w:tcPr>
            <w:tcW w:w="1728" w:type="dxa"/>
            <w:tcBorders>
              <w:top w:val="nil"/>
              <w:left w:val="nil"/>
              <w:bottom w:val="single" w:sz="4" w:space="0" w:color="auto"/>
              <w:right w:val="nil"/>
            </w:tcBorders>
            <w:vAlign w:val="bottom"/>
          </w:tcPr>
          <w:p w14:paraId="76460BBC" w14:textId="77777777" w:rsidR="002A60AD" w:rsidRPr="00531F5D" w:rsidRDefault="002A60AD" w:rsidP="00BA5BC3">
            <w:pPr>
              <w:jc w:val="center"/>
              <w:rPr>
                <w:sz w:val="18"/>
                <w:szCs w:val="18"/>
              </w:rPr>
            </w:pPr>
            <w:r w:rsidRPr="00531F5D">
              <w:rPr>
                <w:sz w:val="18"/>
                <w:szCs w:val="18"/>
              </w:rPr>
              <w:t>Semester of Testing</w:t>
            </w:r>
          </w:p>
        </w:tc>
        <w:tc>
          <w:tcPr>
            <w:tcW w:w="1008" w:type="dxa"/>
            <w:tcBorders>
              <w:top w:val="nil"/>
              <w:left w:val="nil"/>
              <w:bottom w:val="single" w:sz="4" w:space="0" w:color="auto"/>
              <w:right w:val="nil"/>
            </w:tcBorders>
            <w:vAlign w:val="bottom"/>
          </w:tcPr>
          <w:p w14:paraId="5F332E3B" w14:textId="50382DA9" w:rsidR="002A60AD" w:rsidRPr="00531F5D" w:rsidRDefault="002A60AD" w:rsidP="00BA5BC3">
            <w:pPr>
              <w:jc w:val="center"/>
              <w:rPr>
                <w:sz w:val="18"/>
                <w:szCs w:val="18"/>
              </w:rPr>
            </w:pPr>
            <w:r>
              <w:rPr>
                <w:sz w:val="18"/>
                <w:szCs w:val="18"/>
              </w:rPr>
              <w:t>Aggregate</w:t>
            </w:r>
          </w:p>
        </w:tc>
        <w:tc>
          <w:tcPr>
            <w:tcW w:w="1008" w:type="dxa"/>
            <w:tcBorders>
              <w:top w:val="nil"/>
              <w:left w:val="nil"/>
              <w:bottom w:val="single" w:sz="4" w:space="0" w:color="auto"/>
              <w:right w:val="nil"/>
            </w:tcBorders>
            <w:vAlign w:val="bottom"/>
          </w:tcPr>
          <w:p w14:paraId="49816420" w14:textId="619EE0E9" w:rsidR="002A60AD" w:rsidRPr="00531F5D" w:rsidRDefault="002A60AD" w:rsidP="00BA5BC3">
            <w:pPr>
              <w:jc w:val="center"/>
              <w:rPr>
                <w:sz w:val="18"/>
                <w:szCs w:val="18"/>
              </w:rPr>
            </w:pPr>
            <w:r>
              <w:rPr>
                <w:sz w:val="18"/>
                <w:szCs w:val="18"/>
              </w:rPr>
              <w:t>Standard Deviation</w:t>
            </w:r>
          </w:p>
        </w:tc>
        <w:tc>
          <w:tcPr>
            <w:tcW w:w="1152" w:type="dxa"/>
            <w:tcBorders>
              <w:top w:val="nil"/>
              <w:left w:val="nil"/>
              <w:bottom w:val="single" w:sz="4" w:space="0" w:color="auto"/>
              <w:right w:val="nil"/>
            </w:tcBorders>
            <w:vAlign w:val="bottom"/>
          </w:tcPr>
          <w:p w14:paraId="3A8FC774" w14:textId="77777777" w:rsidR="002A60AD" w:rsidRPr="00531F5D" w:rsidRDefault="002A60AD" w:rsidP="00BA5BC3">
            <w:pPr>
              <w:jc w:val="center"/>
              <w:rPr>
                <w:sz w:val="18"/>
                <w:szCs w:val="18"/>
              </w:rPr>
            </w:pPr>
            <w:r w:rsidRPr="00531F5D">
              <w:rPr>
                <w:sz w:val="18"/>
                <w:szCs w:val="18"/>
              </w:rPr>
              <w:t>Target Achieved?</w:t>
            </w:r>
          </w:p>
        </w:tc>
      </w:tr>
      <w:tr w:rsidR="002A60AD" w14:paraId="12364EE4" w14:textId="77777777" w:rsidTr="002A60AD">
        <w:tc>
          <w:tcPr>
            <w:tcW w:w="1728" w:type="dxa"/>
            <w:tcBorders>
              <w:top w:val="single" w:sz="4" w:space="0" w:color="auto"/>
            </w:tcBorders>
          </w:tcPr>
          <w:p w14:paraId="08CCFEBE" w14:textId="0D1848FC" w:rsidR="002A60AD" w:rsidRDefault="002A60AD" w:rsidP="00BA5BC3">
            <w:pPr>
              <w:rPr>
                <w:sz w:val="22"/>
                <w:szCs w:val="22"/>
              </w:rPr>
            </w:pPr>
            <w:r>
              <w:rPr>
                <w:sz w:val="22"/>
                <w:szCs w:val="22"/>
              </w:rPr>
              <w:t>Fall 2024</w:t>
            </w:r>
          </w:p>
        </w:tc>
        <w:tc>
          <w:tcPr>
            <w:tcW w:w="1008" w:type="dxa"/>
            <w:tcBorders>
              <w:top w:val="single" w:sz="4" w:space="0" w:color="auto"/>
            </w:tcBorders>
            <w:vAlign w:val="center"/>
          </w:tcPr>
          <w:p w14:paraId="58D9E160" w14:textId="38D40644" w:rsidR="002A60AD" w:rsidRDefault="000A1975" w:rsidP="00BA5BC3">
            <w:pPr>
              <w:jc w:val="center"/>
              <w:rPr>
                <w:sz w:val="22"/>
                <w:szCs w:val="22"/>
              </w:rPr>
            </w:pPr>
            <w:r>
              <w:rPr>
                <w:sz w:val="22"/>
                <w:szCs w:val="22"/>
              </w:rPr>
              <w:t>3.36</w:t>
            </w:r>
          </w:p>
        </w:tc>
        <w:tc>
          <w:tcPr>
            <w:tcW w:w="1008" w:type="dxa"/>
            <w:tcBorders>
              <w:top w:val="single" w:sz="4" w:space="0" w:color="auto"/>
            </w:tcBorders>
            <w:vAlign w:val="center"/>
          </w:tcPr>
          <w:p w14:paraId="39A813F1" w14:textId="0D393400" w:rsidR="002A60AD" w:rsidRDefault="000A1975" w:rsidP="00BA5BC3">
            <w:pPr>
              <w:jc w:val="center"/>
              <w:rPr>
                <w:sz w:val="22"/>
                <w:szCs w:val="22"/>
              </w:rPr>
            </w:pPr>
            <w:r>
              <w:rPr>
                <w:sz w:val="22"/>
                <w:szCs w:val="22"/>
              </w:rPr>
              <w:t>.73</w:t>
            </w:r>
          </w:p>
        </w:tc>
        <w:tc>
          <w:tcPr>
            <w:tcW w:w="1152" w:type="dxa"/>
            <w:tcBorders>
              <w:top w:val="single" w:sz="4" w:space="0" w:color="auto"/>
            </w:tcBorders>
            <w:vAlign w:val="center"/>
          </w:tcPr>
          <w:p w14:paraId="19B6BB26" w14:textId="30F02985" w:rsidR="002A60AD" w:rsidRDefault="000A1975" w:rsidP="00BA5BC3">
            <w:pPr>
              <w:jc w:val="center"/>
              <w:rPr>
                <w:sz w:val="22"/>
                <w:szCs w:val="22"/>
              </w:rPr>
            </w:pPr>
            <w:r>
              <w:rPr>
                <w:sz w:val="22"/>
                <w:szCs w:val="22"/>
              </w:rPr>
              <w:t>Yes</w:t>
            </w:r>
          </w:p>
        </w:tc>
      </w:tr>
      <w:tr w:rsidR="002A60AD" w14:paraId="6439E443" w14:textId="77777777" w:rsidTr="002A60AD">
        <w:tc>
          <w:tcPr>
            <w:tcW w:w="1728" w:type="dxa"/>
          </w:tcPr>
          <w:p w14:paraId="487D2924" w14:textId="7641AE31" w:rsidR="002A60AD" w:rsidRDefault="002A60AD" w:rsidP="00BA5BC3">
            <w:pPr>
              <w:rPr>
                <w:sz w:val="22"/>
                <w:szCs w:val="22"/>
              </w:rPr>
            </w:pPr>
            <w:r>
              <w:rPr>
                <w:sz w:val="22"/>
                <w:szCs w:val="22"/>
              </w:rPr>
              <w:t>Spring 2025</w:t>
            </w:r>
          </w:p>
        </w:tc>
        <w:tc>
          <w:tcPr>
            <w:tcW w:w="1008" w:type="dxa"/>
            <w:vAlign w:val="center"/>
          </w:tcPr>
          <w:p w14:paraId="0CF69269" w14:textId="2ED7A092" w:rsidR="002A60AD" w:rsidRDefault="000A1975" w:rsidP="00BA5BC3">
            <w:pPr>
              <w:jc w:val="center"/>
              <w:rPr>
                <w:sz w:val="22"/>
                <w:szCs w:val="22"/>
              </w:rPr>
            </w:pPr>
            <w:r>
              <w:rPr>
                <w:sz w:val="22"/>
                <w:szCs w:val="22"/>
              </w:rPr>
              <w:t>3.44</w:t>
            </w:r>
          </w:p>
        </w:tc>
        <w:tc>
          <w:tcPr>
            <w:tcW w:w="1008" w:type="dxa"/>
            <w:vAlign w:val="center"/>
          </w:tcPr>
          <w:p w14:paraId="6A5B82E9" w14:textId="30DF8F05" w:rsidR="002A60AD" w:rsidRDefault="000A1975" w:rsidP="00BA5BC3">
            <w:pPr>
              <w:jc w:val="center"/>
              <w:rPr>
                <w:sz w:val="22"/>
                <w:szCs w:val="22"/>
              </w:rPr>
            </w:pPr>
            <w:r>
              <w:rPr>
                <w:sz w:val="22"/>
                <w:szCs w:val="22"/>
              </w:rPr>
              <w:t>.71</w:t>
            </w:r>
          </w:p>
        </w:tc>
        <w:tc>
          <w:tcPr>
            <w:tcW w:w="1152" w:type="dxa"/>
            <w:vAlign w:val="center"/>
          </w:tcPr>
          <w:p w14:paraId="2BFEACDA" w14:textId="705C1C24" w:rsidR="002A60AD" w:rsidRDefault="000A1975" w:rsidP="00BA5BC3">
            <w:pPr>
              <w:jc w:val="center"/>
              <w:rPr>
                <w:sz w:val="22"/>
                <w:szCs w:val="22"/>
              </w:rPr>
            </w:pPr>
            <w:r>
              <w:rPr>
                <w:sz w:val="22"/>
                <w:szCs w:val="22"/>
              </w:rPr>
              <w:t>Yes</w:t>
            </w:r>
          </w:p>
        </w:tc>
      </w:tr>
      <w:tr w:rsidR="002A60AD" w14:paraId="0A3BE841" w14:textId="77777777" w:rsidTr="002A60AD">
        <w:tc>
          <w:tcPr>
            <w:tcW w:w="1728" w:type="dxa"/>
          </w:tcPr>
          <w:p w14:paraId="7AB53167" w14:textId="09C91601" w:rsidR="002A60AD" w:rsidRDefault="002A60AD" w:rsidP="00BA5BC3">
            <w:pPr>
              <w:rPr>
                <w:sz w:val="22"/>
                <w:szCs w:val="22"/>
              </w:rPr>
            </w:pPr>
            <w:r>
              <w:rPr>
                <w:sz w:val="22"/>
                <w:szCs w:val="22"/>
              </w:rPr>
              <w:t>Summer 2025</w:t>
            </w:r>
          </w:p>
        </w:tc>
        <w:tc>
          <w:tcPr>
            <w:tcW w:w="1008" w:type="dxa"/>
            <w:vAlign w:val="center"/>
          </w:tcPr>
          <w:p w14:paraId="59B6CDAF" w14:textId="49A6C57D" w:rsidR="002A60AD" w:rsidRDefault="000A1975" w:rsidP="00BA5BC3">
            <w:pPr>
              <w:jc w:val="center"/>
              <w:rPr>
                <w:sz w:val="22"/>
                <w:szCs w:val="22"/>
              </w:rPr>
            </w:pPr>
            <w:r>
              <w:rPr>
                <w:sz w:val="22"/>
                <w:szCs w:val="22"/>
              </w:rPr>
              <w:t>3.39</w:t>
            </w:r>
          </w:p>
        </w:tc>
        <w:tc>
          <w:tcPr>
            <w:tcW w:w="1008" w:type="dxa"/>
            <w:vAlign w:val="center"/>
          </w:tcPr>
          <w:p w14:paraId="54FD878B" w14:textId="5B6B2306" w:rsidR="002A60AD" w:rsidRDefault="000A1975" w:rsidP="00BA5BC3">
            <w:pPr>
              <w:jc w:val="center"/>
              <w:rPr>
                <w:sz w:val="22"/>
                <w:szCs w:val="22"/>
              </w:rPr>
            </w:pPr>
            <w:r>
              <w:rPr>
                <w:sz w:val="22"/>
                <w:szCs w:val="22"/>
              </w:rPr>
              <w:t>.81</w:t>
            </w:r>
          </w:p>
        </w:tc>
        <w:tc>
          <w:tcPr>
            <w:tcW w:w="1152" w:type="dxa"/>
            <w:vAlign w:val="center"/>
          </w:tcPr>
          <w:p w14:paraId="71D16C7D" w14:textId="15B68936" w:rsidR="002A60AD" w:rsidRDefault="000A1975" w:rsidP="00BA5BC3">
            <w:pPr>
              <w:jc w:val="center"/>
              <w:rPr>
                <w:sz w:val="22"/>
                <w:szCs w:val="22"/>
              </w:rPr>
            </w:pPr>
            <w:r>
              <w:rPr>
                <w:sz w:val="22"/>
                <w:szCs w:val="22"/>
              </w:rPr>
              <w:t>Yes</w:t>
            </w:r>
          </w:p>
        </w:tc>
      </w:tr>
    </w:tbl>
    <w:p w14:paraId="12482F2A" w14:textId="77777777" w:rsidR="002A60AD" w:rsidRPr="00531F5D" w:rsidRDefault="002A60AD" w:rsidP="00531F5D">
      <w:pPr>
        <w:pStyle w:val="ListParagraph"/>
        <w:rPr>
          <w:sz w:val="22"/>
          <w:szCs w:val="22"/>
        </w:rPr>
      </w:pPr>
    </w:p>
    <w:p w14:paraId="5870AB54" w14:textId="4D9A3E34" w:rsidR="00FC394E" w:rsidRPr="00282AE2" w:rsidRDefault="00FC394E" w:rsidP="00FC394E">
      <w:pPr>
        <w:pStyle w:val="ListParagraph"/>
        <w:numPr>
          <w:ilvl w:val="0"/>
          <w:numId w:val="3"/>
        </w:numPr>
        <w:rPr>
          <w:sz w:val="22"/>
          <w:szCs w:val="22"/>
        </w:rPr>
      </w:pPr>
      <w:r w:rsidRPr="00282AE2">
        <w:rPr>
          <w:sz w:val="22"/>
          <w:szCs w:val="22"/>
        </w:rPr>
        <w:t xml:space="preserve">Graduates will demonstrate cultural awareness when interacting with clients using evidence-based interventions and programs to advocate for and serve their students, clients, and community. </w:t>
      </w:r>
    </w:p>
    <w:p w14:paraId="129346EB" w14:textId="36699B4B" w:rsidR="00282AE2" w:rsidRPr="00282AE2" w:rsidRDefault="00531F5D" w:rsidP="00282AE2">
      <w:pPr>
        <w:pStyle w:val="ListParagraph"/>
        <w:numPr>
          <w:ilvl w:val="1"/>
          <w:numId w:val="3"/>
        </w:numPr>
        <w:rPr>
          <w:sz w:val="22"/>
          <w:szCs w:val="22"/>
        </w:rPr>
      </w:pPr>
      <w:r w:rsidRPr="00282AE2">
        <w:rPr>
          <w:sz w:val="22"/>
          <w:szCs w:val="22"/>
        </w:rPr>
        <w:t xml:space="preserve">Metric: </w:t>
      </w:r>
      <w:r w:rsidR="00282AE2" w:rsidRPr="00282AE2">
        <w:rPr>
          <w:sz w:val="22"/>
          <w:szCs w:val="22"/>
        </w:rPr>
        <w:t xml:space="preserve">Course assignment in EDPS 50700: Counseling Multicultural and Diverse Populations – Multicultural Case Study Assignment. </w:t>
      </w:r>
    </w:p>
    <w:p w14:paraId="48239195" w14:textId="11AA2537" w:rsidR="00531F5D" w:rsidRDefault="00531F5D" w:rsidP="00531F5D">
      <w:pPr>
        <w:pStyle w:val="ListParagraph"/>
        <w:numPr>
          <w:ilvl w:val="1"/>
          <w:numId w:val="3"/>
        </w:numPr>
        <w:rPr>
          <w:sz w:val="22"/>
          <w:szCs w:val="22"/>
        </w:rPr>
      </w:pPr>
      <w:r w:rsidRPr="00282AE2">
        <w:rPr>
          <w:sz w:val="22"/>
          <w:szCs w:val="22"/>
        </w:rPr>
        <w:t xml:space="preserve">Target: </w:t>
      </w:r>
      <w:r w:rsidR="00282AE2" w:rsidRPr="00282AE2">
        <w:rPr>
          <w:sz w:val="22"/>
          <w:szCs w:val="22"/>
        </w:rPr>
        <w:t xml:space="preserve">Aggregate scores for all students will be equal to, or above a 75%. </w:t>
      </w:r>
    </w:p>
    <w:p w14:paraId="497B3F01" w14:textId="77777777" w:rsidR="00282AE2" w:rsidRDefault="00282AE2" w:rsidP="00282AE2">
      <w:pPr>
        <w:rPr>
          <w:sz w:val="22"/>
          <w:szCs w:val="22"/>
        </w:rPr>
      </w:pPr>
    </w:p>
    <w:tbl>
      <w:tblPr>
        <w:tblStyle w:val="TableGrid"/>
        <w:tblW w:w="4896" w:type="dxa"/>
        <w:tblInd w:w="1440" w:type="dxa"/>
        <w:tblLook w:val="04A0" w:firstRow="1" w:lastRow="0" w:firstColumn="1" w:lastColumn="0" w:noHBand="0" w:noVBand="1"/>
      </w:tblPr>
      <w:tblGrid>
        <w:gridCol w:w="1728"/>
        <w:gridCol w:w="1008"/>
        <w:gridCol w:w="1008"/>
        <w:gridCol w:w="1152"/>
      </w:tblGrid>
      <w:tr w:rsidR="00282AE2" w:rsidRPr="00531F5D" w14:paraId="5F03D827" w14:textId="77777777" w:rsidTr="00612736">
        <w:tc>
          <w:tcPr>
            <w:tcW w:w="1728" w:type="dxa"/>
            <w:tcBorders>
              <w:top w:val="nil"/>
              <w:left w:val="nil"/>
              <w:bottom w:val="single" w:sz="4" w:space="0" w:color="auto"/>
              <w:right w:val="nil"/>
            </w:tcBorders>
            <w:vAlign w:val="bottom"/>
          </w:tcPr>
          <w:p w14:paraId="62FCC655" w14:textId="77777777" w:rsidR="00282AE2" w:rsidRPr="00531F5D" w:rsidRDefault="00282AE2" w:rsidP="00612736">
            <w:pPr>
              <w:jc w:val="center"/>
              <w:rPr>
                <w:sz w:val="18"/>
                <w:szCs w:val="18"/>
              </w:rPr>
            </w:pPr>
            <w:r w:rsidRPr="00531F5D">
              <w:rPr>
                <w:sz w:val="18"/>
                <w:szCs w:val="18"/>
              </w:rPr>
              <w:t>Semester of Testing</w:t>
            </w:r>
          </w:p>
        </w:tc>
        <w:tc>
          <w:tcPr>
            <w:tcW w:w="1008" w:type="dxa"/>
            <w:tcBorders>
              <w:top w:val="nil"/>
              <w:left w:val="nil"/>
              <w:bottom w:val="single" w:sz="4" w:space="0" w:color="auto"/>
              <w:right w:val="nil"/>
            </w:tcBorders>
            <w:vAlign w:val="bottom"/>
          </w:tcPr>
          <w:p w14:paraId="1651A41E" w14:textId="77777777" w:rsidR="00282AE2" w:rsidRPr="00531F5D" w:rsidRDefault="00282AE2" w:rsidP="00612736">
            <w:pPr>
              <w:jc w:val="center"/>
              <w:rPr>
                <w:sz w:val="18"/>
                <w:szCs w:val="18"/>
              </w:rPr>
            </w:pPr>
            <w:r>
              <w:rPr>
                <w:sz w:val="18"/>
                <w:szCs w:val="18"/>
              </w:rPr>
              <w:t>Aggregate</w:t>
            </w:r>
          </w:p>
        </w:tc>
        <w:tc>
          <w:tcPr>
            <w:tcW w:w="1008" w:type="dxa"/>
            <w:tcBorders>
              <w:top w:val="nil"/>
              <w:left w:val="nil"/>
              <w:bottom w:val="single" w:sz="4" w:space="0" w:color="auto"/>
              <w:right w:val="nil"/>
            </w:tcBorders>
            <w:vAlign w:val="bottom"/>
          </w:tcPr>
          <w:p w14:paraId="5511C254" w14:textId="77777777" w:rsidR="00282AE2" w:rsidRPr="00531F5D" w:rsidRDefault="00282AE2" w:rsidP="00612736">
            <w:pPr>
              <w:jc w:val="center"/>
              <w:rPr>
                <w:sz w:val="18"/>
                <w:szCs w:val="18"/>
              </w:rPr>
            </w:pPr>
            <w:r>
              <w:rPr>
                <w:sz w:val="18"/>
                <w:szCs w:val="18"/>
              </w:rPr>
              <w:t>Standard Deviation</w:t>
            </w:r>
          </w:p>
        </w:tc>
        <w:tc>
          <w:tcPr>
            <w:tcW w:w="1152" w:type="dxa"/>
            <w:tcBorders>
              <w:top w:val="nil"/>
              <w:left w:val="nil"/>
              <w:bottom w:val="single" w:sz="4" w:space="0" w:color="auto"/>
              <w:right w:val="nil"/>
            </w:tcBorders>
            <w:vAlign w:val="bottom"/>
          </w:tcPr>
          <w:p w14:paraId="2558E988" w14:textId="77777777" w:rsidR="00282AE2" w:rsidRPr="00531F5D" w:rsidRDefault="00282AE2" w:rsidP="00612736">
            <w:pPr>
              <w:jc w:val="center"/>
              <w:rPr>
                <w:sz w:val="18"/>
                <w:szCs w:val="18"/>
              </w:rPr>
            </w:pPr>
            <w:r w:rsidRPr="00531F5D">
              <w:rPr>
                <w:sz w:val="18"/>
                <w:szCs w:val="18"/>
              </w:rPr>
              <w:t>Target Achieved?</w:t>
            </w:r>
          </w:p>
        </w:tc>
      </w:tr>
      <w:tr w:rsidR="00282AE2" w14:paraId="27D48504" w14:textId="77777777" w:rsidTr="00612736">
        <w:tc>
          <w:tcPr>
            <w:tcW w:w="1728" w:type="dxa"/>
          </w:tcPr>
          <w:p w14:paraId="61610DB7" w14:textId="77777777" w:rsidR="00282AE2" w:rsidRPr="000467C5" w:rsidRDefault="00282AE2" w:rsidP="00612736">
            <w:pPr>
              <w:rPr>
                <w:sz w:val="22"/>
                <w:szCs w:val="22"/>
              </w:rPr>
            </w:pPr>
            <w:r w:rsidRPr="000467C5">
              <w:rPr>
                <w:sz w:val="22"/>
                <w:szCs w:val="22"/>
              </w:rPr>
              <w:t>Spring 2025</w:t>
            </w:r>
          </w:p>
        </w:tc>
        <w:tc>
          <w:tcPr>
            <w:tcW w:w="1008" w:type="dxa"/>
            <w:vAlign w:val="center"/>
          </w:tcPr>
          <w:p w14:paraId="63580FE0" w14:textId="58601C7F" w:rsidR="00282AE2" w:rsidRPr="009920E9" w:rsidRDefault="000467C5" w:rsidP="00612736">
            <w:pPr>
              <w:jc w:val="center"/>
              <w:rPr>
                <w:sz w:val="22"/>
                <w:szCs w:val="22"/>
              </w:rPr>
            </w:pPr>
            <w:r w:rsidRPr="009920E9">
              <w:rPr>
                <w:sz w:val="22"/>
                <w:szCs w:val="22"/>
              </w:rPr>
              <w:t>100</w:t>
            </w:r>
          </w:p>
        </w:tc>
        <w:tc>
          <w:tcPr>
            <w:tcW w:w="1008" w:type="dxa"/>
            <w:vAlign w:val="center"/>
          </w:tcPr>
          <w:p w14:paraId="446601E1" w14:textId="352E2217" w:rsidR="00282AE2" w:rsidRPr="009920E9" w:rsidRDefault="009920E9" w:rsidP="00612736">
            <w:pPr>
              <w:jc w:val="center"/>
              <w:rPr>
                <w:sz w:val="22"/>
                <w:szCs w:val="22"/>
              </w:rPr>
            </w:pPr>
            <w:r w:rsidRPr="009920E9">
              <w:rPr>
                <w:sz w:val="22"/>
                <w:szCs w:val="22"/>
              </w:rPr>
              <w:t>0</w:t>
            </w:r>
          </w:p>
        </w:tc>
        <w:tc>
          <w:tcPr>
            <w:tcW w:w="1152" w:type="dxa"/>
            <w:vAlign w:val="center"/>
          </w:tcPr>
          <w:p w14:paraId="1862F819" w14:textId="6CDA5BC9" w:rsidR="00282AE2" w:rsidRPr="009920E9" w:rsidRDefault="009920E9" w:rsidP="00612736">
            <w:pPr>
              <w:jc w:val="center"/>
              <w:rPr>
                <w:sz w:val="22"/>
                <w:szCs w:val="22"/>
              </w:rPr>
            </w:pPr>
            <w:r w:rsidRPr="009920E9">
              <w:rPr>
                <w:sz w:val="22"/>
                <w:szCs w:val="22"/>
              </w:rPr>
              <w:t>yes</w:t>
            </w:r>
          </w:p>
        </w:tc>
      </w:tr>
    </w:tbl>
    <w:p w14:paraId="512E2170" w14:textId="77777777" w:rsidR="00531F5D" w:rsidRPr="00FC394E" w:rsidRDefault="00531F5D" w:rsidP="00531F5D">
      <w:pPr>
        <w:pStyle w:val="ListParagraph"/>
        <w:rPr>
          <w:sz w:val="22"/>
          <w:szCs w:val="22"/>
        </w:rPr>
      </w:pPr>
    </w:p>
    <w:p w14:paraId="7569A9A7" w14:textId="762F4229" w:rsidR="00FC394E" w:rsidRDefault="00FC394E" w:rsidP="00FC394E">
      <w:pPr>
        <w:pStyle w:val="ListParagraph"/>
        <w:numPr>
          <w:ilvl w:val="0"/>
          <w:numId w:val="3"/>
        </w:numPr>
        <w:rPr>
          <w:sz w:val="22"/>
          <w:szCs w:val="22"/>
        </w:rPr>
      </w:pPr>
      <w:r w:rsidRPr="00FC394E">
        <w:rPr>
          <w:sz w:val="22"/>
          <w:szCs w:val="22"/>
        </w:rPr>
        <w:t xml:space="preserve">Clinical Mental Health Graduates will demonstrate the skills necessary to assess, diagnose, formulate case conceptualizations, and develop treatment plans for clients from diverse populations. </w:t>
      </w:r>
    </w:p>
    <w:p w14:paraId="58E54BC7" w14:textId="4B412541" w:rsidR="00531F5D" w:rsidRDefault="00531F5D" w:rsidP="00531F5D">
      <w:pPr>
        <w:pStyle w:val="ListParagraph"/>
        <w:numPr>
          <w:ilvl w:val="1"/>
          <w:numId w:val="3"/>
        </w:numPr>
        <w:rPr>
          <w:sz w:val="22"/>
          <w:szCs w:val="22"/>
        </w:rPr>
      </w:pPr>
      <w:r>
        <w:rPr>
          <w:sz w:val="22"/>
          <w:szCs w:val="22"/>
        </w:rPr>
        <w:t xml:space="preserve">Metric: </w:t>
      </w:r>
      <w:r w:rsidR="009771C2">
        <w:rPr>
          <w:sz w:val="22"/>
          <w:szCs w:val="22"/>
        </w:rPr>
        <w:t>End of Semester Supervisor Evaluation of Clinical Mental Health Counselor Trainee, Aggregate Score</w:t>
      </w:r>
    </w:p>
    <w:p w14:paraId="6F98FE63" w14:textId="3487B716" w:rsidR="00531F5D" w:rsidRDefault="00531F5D" w:rsidP="00531F5D">
      <w:pPr>
        <w:pStyle w:val="ListParagraph"/>
        <w:numPr>
          <w:ilvl w:val="1"/>
          <w:numId w:val="3"/>
        </w:numPr>
        <w:rPr>
          <w:sz w:val="22"/>
          <w:szCs w:val="22"/>
        </w:rPr>
      </w:pPr>
      <w:r>
        <w:rPr>
          <w:sz w:val="22"/>
          <w:szCs w:val="22"/>
        </w:rPr>
        <w:t xml:space="preserve">Target: </w:t>
      </w:r>
      <w:r w:rsidR="005C57E0">
        <w:rPr>
          <w:sz w:val="22"/>
          <w:szCs w:val="22"/>
        </w:rPr>
        <w:t>Aggregate scores for all students will be equal to, or above a 2 (“Satisfactory”) out of 3.</w:t>
      </w:r>
    </w:p>
    <w:p w14:paraId="4467B05A" w14:textId="77777777" w:rsidR="00531F5D" w:rsidRDefault="00531F5D" w:rsidP="00531F5D">
      <w:pPr>
        <w:pStyle w:val="ListParagraph"/>
        <w:rPr>
          <w:sz w:val="22"/>
          <w:szCs w:val="22"/>
        </w:rPr>
      </w:pPr>
    </w:p>
    <w:tbl>
      <w:tblPr>
        <w:tblStyle w:val="TableGrid"/>
        <w:tblW w:w="4896" w:type="dxa"/>
        <w:tblInd w:w="1440" w:type="dxa"/>
        <w:tblLook w:val="04A0" w:firstRow="1" w:lastRow="0" w:firstColumn="1" w:lastColumn="0" w:noHBand="0" w:noVBand="1"/>
      </w:tblPr>
      <w:tblGrid>
        <w:gridCol w:w="1728"/>
        <w:gridCol w:w="1008"/>
        <w:gridCol w:w="1008"/>
        <w:gridCol w:w="1152"/>
      </w:tblGrid>
      <w:tr w:rsidR="005C57E0" w:rsidRPr="00531F5D" w14:paraId="491D3E86" w14:textId="77777777" w:rsidTr="00BA5BC3">
        <w:tc>
          <w:tcPr>
            <w:tcW w:w="1728" w:type="dxa"/>
            <w:tcBorders>
              <w:top w:val="nil"/>
              <w:left w:val="nil"/>
              <w:bottom w:val="single" w:sz="4" w:space="0" w:color="auto"/>
              <w:right w:val="nil"/>
            </w:tcBorders>
            <w:vAlign w:val="bottom"/>
          </w:tcPr>
          <w:p w14:paraId="6D2B6BFF" w14:textId="77777777" w:rsidR="005C57E0" w:rsidRPr="00531F5D" w:rsidRDefault="005C57E0" w:rsidP="00BA5BC3">
            <w:pPr>
              <w:jc w:val="center"/>
              <w:rPr>
                <w:sz w:val="18"/>
                <w:szCs w:val="18"/>
              </w:rPr>
            </w:pPr>
            <w:r w:rsidRPr="00531F5D">
              <w:rPr>
                <w:sz w:val="18"/>
                <w:szCs w:val="18"/>
              </w:rPr>
              <w:t>Semester of Testing</w:t>
            </w:r>
          </w:p>
        </w:tc>
        <w:tc>
          <w:tcPr>
            <w:tcW w:w="1008" w:type="dxa"/>
            <w:tcBorders>
              <w:top w:val="nil"/>
              <w:left w:val="nil"/>
              <w:bottom w:val="single" w:sz="4" w:space="0" w:color="auto"/>
              <w:right w:val="nil"/>
            </w:tcBorders>
            <w:vAlign w:val="bottom"/>
          </w:tcPr>
          <w:p w14:paraId="35DB1158" w14:textId="77777777" w:rsidR="005C57E0" w:rsidRPr="00531F5D" w:rsidRDefault="005C57E0" w:rsidP="00BA5BC3">
            <w:pPr>
              <w:jc w:val="center"/>
              <w:rPr>
                <w:sz w:val="18"/>
                <w:szCs w:val="18"/>
              </w:rPr>
            </w:pPr>
            <w:r>
              <w:rPr>
                <w:sz w:val="18"/>
                <w:szCs w:val="18"/>
              </w:rPr>
              <w:t>Aggregate</w:t>
            </w:r>
          </w:p>
        </w:tc>
        <w:tc>
          <w:tcPr>
            <w:tcW w:w="1008" w:type="dxa"/>
            <w:tcBorders>
              <w:top w:val="nil"/>
              <w:left w:val="nil"/>
              <w:bottom w:val="single" w:sz="4" w:space="0" w:color="auto"/>
              <w:right w:val="nil"/>
            </w:tcBorders>
            <w:vAlign w:val="bottom"/>
          </w:tcPr>
          <w:p w14:paraId="3035329D" w14:textId="77777777" w:rsidR="005C57E0" w:rsidRPr="00531F5D" w:rsidRDefault="005C57E0" w:rsidP="00BA5BC3">
            <w:pPr>
              <w:jc w:val="center"/>
              <w:rPr>
                <w:sz w:val="18"/>
                <w:szCs w:val="18"/>
              </w:rPr>
            </w:pPr>
            <w:r>
              <w:rPr>
                <w:sz w:val="18"/>
                <w:szCs w:val="18"/>
              </w:rPr>
              <w:t>Standard Deviation</w:t>
            </w:r>
          </w:p>
        </w:tc>
        <w:tc>
          <w:tcPr>
            <w:tcW w:w="1152" w:type="dxa"/>
            <w:tcBorders>
              <w:top w:val="nil"/>
              <w:left w:val="nil"/>
              <w:bottom w:val="single" w:sz="4" w:space="0" w:color="auto"/>
              <w:right w:val="nil"/>
            </w:tcBorders>
            <w:vAlign w:val="bottom"/>
          </w:tcPr>
          <w:p w14:paraId="03E37C1E" w14:textId="77777777" w:rsidR="005C57E0" w:rsidRPr="00531F5D" w:rsidRDefault="005C57E0" w:rsidP="00BA5BC3">
            <w:pPr>
              <w:jc w:val="center"/>
              <w:rPr>
                <w:sz w:val="18"/>
                <w:szCs w:val="18"/>
              </w:rPr>
            </w:pPr>
            <w:r w:rsidRPr="00531F5D">
              <w:rPr>
                <w:sz w:val="18"/>
                <w:szCs w:val="18"/>
              </w:rPr>
              <w:t>Target Achieved?</w:t>
            </w:r>
          </w:p>
        </w:tc>
      </w:tr>
      <w:tr w:rsidR="005C57E0" w14:paraId="60BC31FD" w14:textId="77777777" w:rsidTr="00BA5BC3">
        <w:tc>
          <w:tcPr>
            <w:tcW w:w="1728" w:type="dxa"/>
            <w:tcBorders>
              <w:top w:val="single" w:sz="4" w:space="0" w:color="auto"/>
            </w:tcBorders>
          </w:tcPr>
          <w:p w14:paraId="01F47A4B" w14:textId="77777777" w:rsidR="005C57E0" w:rsidRDefault="005C57E0" w:rsidP="00BA5BC3">
            <w:pPr>
              <w:rPr>
                <w:sz w:val="22"/>
                <w:szCs w:val="22"/>
              </w:rPr>
            </w:pPr>
            <w:r>
              <w:rPr>
                <w:sz w:val="22"/>
                <w:szCs w:val="22"/>
              </w:rPr>
              <w:t>Fall 2024</w:t>
            </w:r>
          </w:p>
        </w:tc>
        <w:tc>
          <w:tcPr>
            <w:tcW w:w="1008" w:type="dxa"/>
            <w:tcBorders>
              <w:top w:val="single" w:sz="4" w:space="0" w:color="auto"/>
            </w:tcBorders>
            <w:vAlign w:val="center"/>
          </w:tcPr>
          <w:p w14:paraId="1B043A08" w14:textId="33478AD8" w:rsidR="005C57E0" w:rsidRDefault="005C57E0" w:rsidP="00BA5BC3">
            <w:pPr>
              <w:jc w:val="center"/>
              <w:rPr>
                <w:sz w:val="22"/>
                <w:szCs w:val="22"/>
              </w:rPr>
            </w:pPr>
            <w:r>
              <w:rPr>
                <w:sz w:val="22"/>
                <w:szCs w:val="22"/>
              </w:rPr>
              <w:t>2.42</w:t>
            </w:r>
          </w:p>
        </w:tc>
        <w:tc>
          <w:tcPr>
            <w:tcW w:w="1008" w:type="dxa"/>
            <w:tcBorders>
              <w:top w:val="single" w:sz="4" w:space="0" w:color="auto"/>
            </w:tcBorders>
            <w:vAlign w:val="center"/>
          </w:tcPr>
          <w:p w14:paraId="0C3313E3" w14:textId="668DF676" w:rsidR="005C57E0" w:rsidRDefault="005C57E0" w:rsidP="00BA5BC3">
            <w:pPr>
              <w:jc w:val="center"/>
              <w:rPr>
                <w:sz w:val="22"/>
                <w:szCs w:val="22"/>
              </w:rPr>
            </w:pPr>
            <w:r>
              <w:rPr>
                <w:sz w:val="22"/>
                <w:szCs w:val="22"/>
              </w:rPr>
              <w:t>.70</w:t>
            </w:r>
          </w:p>
        </w:tc>
        <w:tc>
          <w:tcPr>
            <w:tcW w:w="1152" w:type="dxa"/>
            <w:tcBorders>
              <w:top w:val="single" w:sz="4" w:space="0" w:color="auto"/>
            </w:tcBorders>
            <w:vAlign w:val="center"/>
          </w:tcPr>
          <w:p w14:paraId="1E8EA0D1" w14:textId="6C69E5D4" w:rsidR="005C57E0" w:rsidRDefault="005C57E0" w:rsidP="00BA5BC3">
            <w:pPr>
              <w:jc w:val="center"/>
              <w:rPr>
                <w:sz w:val="22"/>
                <w:szCs w:val="22"/>
              </w:rPr>
            </w:pPr>
            <w:r>
              <w:rPr>
                <w:sz w:val="22"/>
                <w:szCs w:val="22"/>
              </w:rPr>
              <w:t>Yes</w:t>
            </w:r>
          </w:p>
        </w:tc>
      </w:tr>
      <w:tr w:rsidR="005C57E0" w14:paraId="2D2021A5" w14:textId="77777777" w:rsidTr="00BA5BC3">
        <w:tc>
          <w:tcPr>
            <w:tcW w:w="1728" w:type="dxa"/>
          </w:tcPr>
          <w:p w14:paraId="2ED69C5D" w14:textId="77777777" w:rsidR="005C57E0" w:rsidRDefault="005C57E0" w:rsidP="00BA5BC3">
            <w:pPr>
              <w:rPr>
                <w:sz w:val="22"/>
                <w:szCs w:val="22"/>
              </w:rPr>
            </w:pPr>
            <w:r>
              <w:rPr>
                <w:sz w:val="22"/>
                <w:szCs w:val="22"/>
              </w:rPr>
              <w:t>Spring 2025</w:t>
            </w:r>
          </w:p>
        </w:tc>
        <w:tc>
          <w:tcPr>
            <w:tcW w:w="1008" w:type="dxa"/>
            <w:vAlign w:val="center"/>
          </w:tcPr>
          <w:p w14:paraId="7A397360" w14:textId="09B94019" w:rsidR="005C57E0" w:rsidRDefault="005C57E0" w:rsidP="00BA5BC3">
            <w:pPr>
              <w:jc w:val="center"/>
              <w:rPr>
                <w:sz w:val="22"/>
                <w:szCs w:val="22"/>
              </w:rPr>
            </w:pPr>
            <w:r>
              <w:rPr>
                <w:sz w:val="22"/>
                <w:szCs w:val="22"/>
              </w:rPr>
              <w:t>2.45</w:t>
            </w:r>
          </w:p>
        </w:tc>
        <w:tc>
          <w:tcPr>
            <w:tcW w:w="1008" w:type="dxa"/>
            <w:vAlign w:val="center"/>
          </w:tcPr>
          <w:p w14:paraId="090C10AE" w14:textId="6975A713" w:rsidR="005C57E0" w:rsidRDefault="005C57E0" w:rsidP="00BA5BC3">
            <w:pPr>
              <w:jc w:val="center"/>
              <w:rPr>
                <w:sz w:val="22"/>
                <w:szCs w:val="22"/>
              </w:rPr>
            </w:pPr>
            <w:r>
              <w:rPr>
                <w:sz w:val="22"/>
                <w:szCs w:val="22"/>
              </w:rPr>
              <w:t>.97</w:t>
            </w:r>
          </w:p>
        </w:tc>
        <w:tc>
          <w:tcPr>
            <w:tcW w:w="1152" w:type="dxa"/>
            <w:vAlign w:val="center"/>
          </w:tcPr>
          <w:p w14:paraId="2EE89EC8" w14:textId="3279EEE3" w:rsidR="005C57E0" w:rsidRDefault="005C57E0" w:rsidP="00BA5BC3">
            <w:pPr>
              <w:jc w:val="center"/>
              <w:rPr>
                <w:sz w:val="22"/>
                <w:szCs w:val="22"/>
              </w:rPr>
            </w:pPr>
            <w:r>
              <w:rPr>
                <w:sz w:val="22"/>
                <w:szCs w:val="22"/>
              </w:rPr>
              <w:t>Yes</w:t>
            </w:r>
          </w:p>
        </w:tc>
      </w:tr>
      <w:tr w:rsidR="005C57E0" w14:paraId="3129D01E" w14:textId="77777777" w:rsidTr="00BA5BC3">
        <w:tc>
          <w:tcPr>
            <w:tcW w:w="1728" w:type="dxa"/>
          </w:tcPr>
          <w:p w14:paraId="44B77941" w14:textId="77777777" w:rsidR="005C57E0" w:rsidRDefault="005C57E0" w:rsidP="00BA5BC3">
            <w:pPr>
              <w:rPr>
                <w:sz w:val="22"/>
                <w:szCs w:val="22"/>
              </w:rPr>
            </w:pPr>
            <w:r>
              <w:rPr>
                <w:sz w:val="22"/>
                <w:szCs w:val="22"/>
              </w:rPr>
              <w:t>Summer 2025</w:t>
            </w:r>
          </w:p>
        </w:tc>
        <w:tc>
          <w:tcPr>
            <w:tcW w:w="1008" w:type="dxa"/>
            <w:vAlign w:val="center"/>
          </w:tcPr>
          <w:p w14:paraId="4DB382F0" w14:textId="0479F509" w:rsidR="005C57E0" w:rsidRDefault="005C57E0" w:rsidP="00BA5BC3">
            <w:pPr>
              <w:jc w:val="center"/>
              <w:rPr>
                <w:sz w:val="22"/>
                <w:szCs w:val="22"/>
              </w:rPr>
            </w:pPr>
            <w:r>
              <w:rPr>
                <w:sz w:val="22"/>
                <w:szCs w:val="22"/>
              </w:rPr>
              <w:t>2.61</w:t>
            </w:r>
          </w:p>
        </w:tc>
        <w:tc>
          <w:tcPr>
            <w:tcW w:w="1008" w:type="dxa"/>
            <w:vAlign w:val="center"/>
          </w:tcPr>
          <w:p w14:paraId="7AB3003C" w14:textId="4C8EB7F5" w:rsidR="005C57E0" w:rsidRDefault="005C57E0" w:rsidP="00BA5BC3">
            <w:pPr>
              <w:jc w:val="center"/>
              <w:rPr>
                <w:sz w:val="22"/>
                <w:szCs w:val="22"/>
              </w:rPr>
            </w:pPr>
            <w:r>
              <w:rPr>
                <w:sz w:val="22"/>
                <w:szCs w:val="22"/>
              </w:rPr>
              <w:t>.83</w:t>
            </w:r>
          </w:p>
        </w:tc>
        <w:tc>
          <w:tcPr>
            <w:tcW w:w="1152" w:type="dxa"/>
            <w:vAlign w:val="center"/>
          </w:tcPr>
          <w:p w14:paraId="401CEFD7" w14:textId="4625C3EA" w:rsidR="005C57E0" w:rsidRDefault="005C57E0" w:rsidP="00BA5BC3">
            <w:pPr>
              <w:jc w:val="center"/>
              <w:rPr>
                <w:sz w:val="22"/>
                <w:szCs w:val="22"/>
              </w:rPr>
            </w:pPr>
            <w:r>
              <w:rPr>
                <w:sz w:val="22"/>
                <w:szCs w:val="22"/>
              </w:rPr>
              <w:t>Yes</w:t>
            </w:r>
          </w:p>
        </w:tc>
      </w:tr>
    </w:tbl>
    <w:p w14:paraId="777F63FA" w14:textId="77777777" w:rsidR="005C57E0" w:rsidRPr="00FC394E" w:rsidRDefault="005C57E0" w:rsidP="00531F5D">
      <w:pPr>
        <w:pStyle w:val="ListParagraph"/>
        <w:rPr>
          <w:sz w:val="22"/>
          <w:szCs w:val="22"/>
        </w:rPr>
      </w:pPr>
    </w:p>
    <w:p w14:paraId="6A9650A4" w14:textId="339B0FF9" w:rsidR="00FC394E" w:rsidRDefault="00FC394E" w:rsidP="00FC394E">
      <w:pPr>
        <w:pStyle w:val="ListParagraph"/>
        <w:numPr>
          <w:ilvl w:val="0"/>
          <w:numId w:val="3"/>
        </w:numPr>
        <w:rPr>
          <w:sz w:val="22"/>
          <w:szCs w:val="22"/>
        </w:rPr>
      </w:pPr>
      <w:r w:rsidRPr="00FC394E">
        <w:rPr>
          <w:sz w:val="22"/>
          <w:szCs w:val="22"/>
        </w:rPr>
        <w:t>School Counseling Graduates will demonstrate the skills to advocate for children, provide individual and group counseling, and coordinate school counseling programming that addresses the emotional, social, academic, and career needs of students.</w:t>
      </w:r>
    </w:p>
    <w:p w14:paraId="3081C73F" w14:textId="74CF2151" w:rsidR="00531F5D" w:rsidRDefault="00531F5D" w:rsidP="00531F5D">
      <w:pPr>
        <w:pStyle w:val="ListParagraph"/>
        <w:numPr>
          <w:ilvl w:val="1"/>
          <w:numId w:val="3"/>
        </w:numPr>
        <w:rPr>
          <w:sz w:val="22"/>
          <w:szCs w:val="22"/>
        </w:rPr>
      </w:pPr>
      <w:r>
        <w:rPr>
          <w:sz w:val="22"/>
          <w:szCs w:val="22"/>
        </w:rPr>
        <w:t xml:space="preserve">Metric: </w:t>
      </w:r>
      <w:r w:rsidR="009771C2">
        <w:rPr>
          <w:sz w:val="22"/>
          <w:szCs w:val="22"/>
        </w:rPr>
        <w:t>End of Semester Supervisor Evaluation of School Counselor Trainee, Aggregate Score</w:t>
      </w:r>
    </w:p>
    <w:p w14:paraId="7DC5932D" w14:textId="606E5895" w:rsidR="00531F5D" w:rsidRDefault="00531F5D" w:rsidP="00531F5D">
      <w:pPr>
        <w:pStyle w:val="ListParagraph"/>
        <w:numPr>
          <w:ilvl w:val="1"/>
          <w:numId w:val="3"/>
        </w:numPr>
        <w:rPr>
          <w:sz w:val="22"/>
          <w:szCs w:val="22"/>
        </w:rPr>
      </w:pPr>
      <w:r>
        <w:rPr>
          <w:sz w:val="22"/>
          <w:szCs w:val="22"/>
        </w:rPr>
        <w:t xml:space="preserve">Target: </w:t>
      </w:r>
      <w:r w:rsidR="005C57E0">
        <w:rPr>
          <w:sz w:val="22"/>
          <w:szCs w:val="22"/>
        </w:rPr>
        <w:t>Aggregate scores for all students will be equal to, or above a 2 (“Satisfactory”) out of 3.</w:t>
      </w:r>
    </w:p>
    <w:p w14:paraId="278B928C" w14:textId="77777777" w:rsidR="00531F5D" w:rsidRPr="00531F5D" w:rsidRDefault="00531F5D" w:rsidP="00531F5D">
      <w:pPr>
        <w:rPr>
          <w:sz w:val="22"/>
          <w:szCs w:val="22"/>
        </w:rPr>
      </w:pPr>
    </w:p>
    <w:tbl>
      <w:tblPr>
        <w:tblStyle w:val="TableGrid"/>
        <w:tblW w:w="4896" w:type="dxa"/>
        <w:tblInd w:w="1440" w:type="dxa"/>
        <w:tblLook w:val="04A0" w:firstRow="1" w:lastRow="0" w:firstColumn="1" w:lastColumn="0" w:noHBand="0" w:noVBand="1"/>
      </w:tblPr>
      <w:tblGrid>
        <w:gridCol w:w="1728"/>
        <w:gridCol w:w="1008"/>
        <w:gridCol w:w="1008"/>
        <w:gridCol w:w="1152"/>
      </w:tblGrid>
      <w:tr w:rsidR="005C57E0" w:rsidRPr="00531F5D" w14:paraId="14B5F922" w14:textId="77777777" w:rsidTr="00BA5BC3">
        <w:tc>
          <w:tcPr>
            <w:tcW w:w="1728" w:type="dxa"/>
            <w:tcBorders>
              <w:top w:val="nil"/>
              <w:left w:val="nil"/>
              <w:bottom w:val="single" w:sz="4" w:space="0" w:color="auto"/>
              <w:right w:val="nil"/>
            </w:tcBorders>
            <w:vAlign w:val="bottom"/>
          </w:tcPr>
          <w:p w14:paraId="2C21CD8A" w14:textId="77777777" w:rsidR="005C57E0" w:rsidRPr="00531F5D" w:rsidRDefault="005C57E0" w:rsidP="00BA5BC3">
            <w:pPr>
              <w:jc w:val="center"/>
              <w:rPr>
                <w:sz w:val="18"/>
                <w:szCs w:val="18"/>
              </w:rPr>
            </w:pPr>
            <w:r w:rsidRPr="00531F5D">
              <w:rPr>
                <w:sz w:val="18"/>
                <w:szCs w:val="18"/>
              </w:rPr>
              <w:t>Semester of Testing</w:t>
            </w:r>
          </w:p>
        </w:tc>
        <w:tc>
          <w:tcPr>
            <w:tcW w:w="1008" w:type="dxa"/>
            <w:tcBorders>
              <w:top w:val="nil"/>
              <w:left w:val="nil"/>
              <w:bottom w:val="single" w:sz="4" w:space="0" w:color="auto"/>
              <w:right w:val="nil"/>
            </w:tcBorders>
            <w:vAlign w:val="bottom"/>
          </w:tcPr>
          <w:p w14:paraId="27D6FB47" w14:textId="77777777" w:rsidR="005C57E0" w:rsidRPr="00531F5D" w:rsidRDefault="005C57E0" w:rsidP="00BA5BC3">
            <w:pPr>
              <w:jc w:val="center"/>
              <w:rPr>
                <w:sz w:val="18"/>
                <w:szCs w:val="18"/>
              </w:rPr>
            </w:pPr>
            <w:r>
              <w:rPr>
                <w:sz w:val="18"/>
                <w:szCs w:val="18"/>
              </w:rPr>
              <w:t>Aggregate</w:t>
            </w:r>
          </w:p>
        </w:tc>
        <w:tc>
          <w:tcPr>
            <w:tcW w:w="1008" w:type="dxa"/>
            <w:tcBorders>
              <w:top w:val="nil"/>
              <w:left w:val="nil"/>
              <w:bottom w:val="single" w:sz="4" w:space="0" w:color="auto"/>
              <w:right w:val="nil"/>
            </w:tcBorders>
            <w:vAlign w:val="bottom"/>
          </w:tcPr>
          <w:p w14:paraId="7D72ABF4" w14:textId="77777777" w:rsidR="005C57E0" w:rsidRPr="00531F5D" w:rsidRDefault="005C57E0" w:rsidP="00BA5BC3">
            <w:pPr>
              <w:jc w:val="center"/>
              <w:rPr>
                <w:sz w:val="18"/>
                <w:szCs w:val="18"/>
              </w:rPr>
            </w:pPr>
            <w:r>
              <w:rPr>
                <w:sz w:val="18"/>
                <w:szCs w:val="18"/>
              </w:rPr>
              <w:t>Standard Deviation</w:t>
            </w:r>
          </w:p>
        </w:tc>
        <w:tc>
          <w:tcPr>
            <w:tcW w:w="1152" w:type="dxa"/>
            <w:tcBorders>
              <w:top w:val="nil"/>
              <w:left w:val="nil"/>
              <w:bottom w:val="single" w:sz="4" w:space="0" w:color="auto"/>
              <w:right w:val="nil"/>
            </w:tcBorders>
            <w:vAlign w:val="bottom"/>
          </w:tcPr>
          <w:p w14:paraId="333BB5B0" w14:textId="77777777" w:rsidR="005C57E0" w:rsidRPr="00531F5D" w:rsidRDefault="005C57E0" w:rsidP="00BA5BC3">
            <w:pPr>
              <w:jc w:val="center"/>
              <w:rPr>
                <w:sz w:val="18"/>
                <w:szCs w:val="18"/>
              </w:rPr>
            </w:pPr>
            <w:r w:rsidRPr="00531F5D">
              <w:rPr>
                <w:sz w:val="18"/>
                <w:szCs w:val="18"/>
              </w:rPr>
              <w:t>Target Achieved?</w:t>
            </w:r>
          </w:p>
        </w:tc>
      </w:tr>
      <w:tr w:rsidR="005C57E0" w14:paraId="6F77834A" w14:textId="77777777" w:rsidTr="00BA5BC3">
        <w:tc>
          <w:tcPr>
            <w:tcW w:w="1728" w:type="dxa"/>
            <w:tcBorders>
              <w:top w:val="single" w:sz="4" w:space="0" w:color="auto"/>
            </w:tcBorders>
          </w:tcPr>
          <w:p w14:paraId="242338D0" w14:textId="77777777" w:rsidR="005C57E0" w:rsidRDefault="005C57E0" w:rsidP="00BA5BC3">
            <w:pPr>
              <w:rPr>
                <w:sz w:val="22"/>
                <w:szCs w:val="22"/>
              </w:rPr>
            </w:pPr>
            <w:r>
              <w:rPr>
                <w:sz w:val="22"/>
                <w:szCs w:val="22"/>
              </w:rPr>
              <w:t>Fall 2024</w:t>
            </w:r>
          </w:p>
        </w:tc>
        <w:tc>
          <w:tcPr>
            <w:tcW w:w="1008" w:type="dxa"/>
            <w:tcBorders>
              <w:top w:val="single" w:sz="4" w:space="0" w:color="auto"/>
            </w:tcBorders>
            <w:vAlign w:val="center"/>
          </w:tcPr>
          <w:p w14:paraId="76474486" w14:textId="517D6BA4" w:rsidR="005C57E0" w:rsidRDefault="005C57E0" w:rsidP="00BA5BC3">
            <w:pPr>
              <w:jc w:val="center"/>
              <w:rPr>
                <w:sz w:val="22"/>
                <w:szCs w:val="22"/>
              </w:rPr>
            </w:pPr>
            <w:r>
              <w:rPr>
                <w:sz w:val="22"/>
                <w:szCs w:val="22"/>
              </w:rPr>
              <w:t>2.29</w:t>
            </w:r>
          </w:p>
        </w:tc>
        <w:tc>
          <w:tcPr>
            <w:tcW w:w="1008" w:type="dxa"/>
            <w:tcBorders>
              <w:top w:val="single" w:sz="4" w:space="0" w:color="auto"/>
            </w:tcBorders>
            <w:vAlign w:val="center"/>
          </w:tcPr>
          <w:p w14:paraId="271CB507" w14:textId="323F11B7" w:rsidR="005C57E0" w:rsidRDefault="005C57E0" w:rsidP="00BA5BC3">
            <w:pPr>
              <w:jc w:val="center"/>
              <w:rPr>
                <w:sz w:val="22"/>
                <w:szCs w:val="22"/>
              </w:rPr>
            </w:pPr>
            <w:r>
              <w:rPr>
                <w:sz w:val="22"/>
                <w:szCs w:val="22"/>
              </w:rPr>
              <w:t>.87</w:t>
            </w:r>
          </w:p>
        </w:tc>
        <w:tc>
          <w:tcPr>
            <w:tcW w:w="1152" w:type="dxa"/>
            <w:tcBorders>
              <w:top w:val="single" w:sz="4" w:space="0" w:color="auto"/>
            </w:tcBorders>
            <w:vAlign w:val="center"/>
          </w:tcPr>
          <w:p w14:paraId="13599A0C" w14:textId="0E192B96" w:rsidR="005C57E0" w:rsidRDefault="005C57E0" w:rsidP="00BA5BC3">
            <w:pPr>
              <w:jc w:val="center"/>
              <w:rPr>
                <w:sz w:val="22"/>
                <w:szCs w:val="22"/>
              </w:rPr>
            </w:pPr>
            <w:r>
              <w:rPr>
                <w:sz w:val="22"/>
                <w:szCs w:val="22"/>
              </w:rPr>
              <w:t>Yes</w:t>
            </w:r>
          </w:p>
        </w:tc>
      </w:tr>
      <w:tr w:rsidR="005C57E0" w14:paraId="645CB586" w14:textId="77777777" w:rsidTr="00BA5BC3">
        <w:tc>
          <w:tcPr>
            <w:tcW w:w="1728" w:type="dxa"/>
          </w:tcPr>
          <w:p w14:paraId="56F4B248" w14:textId="77777777" w:rsidR="005C57E0" w:rsidRDefault="005C57E0" w:rsidP="00BA5BC3">
            <w:pPr>
              <w:rPr>
                <w:sz w:val="22"/>
                <w:szCs w:val="22"/>
              </w:rPr>
            </w:pPr>
            <w:r>
              <w:rPr>
                <w:sz w:val="22"/>
                <w:szCs w:val="22"/>
              </w:rPr>
              <w:t>Spring 2025</w:t>
            </w:r>
          </w:p>
        </w:tc>
        <w:tc>
          <w:tcPr>
            <w:tcW w:w="1008" w:type="dxa"/>
            <w:vAlign w:val="center"/>
          </w:tcPr>
          <w:p w14:paraId="04684C80" w14:textId="67712949" w:rsidR="005C57E0" w:rsidRDefault="005C57E0" w:rsidP="00BA5BC3">
            <w:pPr>
              <w:jc w:val="center"/>
              <w:rPr>
                <w:sz w:val="22"/>
                <w:szCs w:val="22"/>
              </w:rPr>
            </w:pPr>
            <w:r>
              <w:rPr>
                <w:sz w:val="22"/>
                <w:szCs w:val="22"/>
              </w:rPr>
              <w:t>2.73</w:t>
            </w:r>
          </w:p>
        </w:tc>
        <w:tc>
          <w:tcPr>
            <w:tcW w:w="1008" w:type="dxa"/>
            <w:vAlign w:val="center"/>
          </w:tcPr>
          <w:p w14:paraId="304B83E5" w14:textId="592A3848" w:rsidR="005C57E0" w:rsidRDefault="005C57E0" w:rsidP="00BA5BC3">
            <w:pPr>
              <w:jc w:val="center"/>
              <w:rPr>
                <w:sz w:val="22"/>
                <w:szCs w:val="22"/>
              </w:rPr>
            </w:pPr>
            <w:r>
              <w:rPr>
                <w:sz w:val="22"/>
                <w:szCs w:val="22"/>
              </w:rPr>
              <w:t>.66</w:t>
            </w:r>
          </w:p>
        </w:tc>
        <w:tc>
          <w:tcPr>
            <w:tcW w:w="1152" w:type="dxa"/>
            <w:vAlign w:val="center"/>
          </w:tcPr>
          <w:p w14:paraId="5C0FC746" w14:textId="6D930B8D" w:rsidR="005C57E0" w:rsidRDefault="005C57E0" w:rsidP="00BA5BC3">
            <w:pPr>
              <w:jc w:val="center"/>
              <w:rPr>
                <w:sz w:val="22"/>
                <w:szCs w:val="22"/>
              </w:rPr>
            </w:pPr>
            <w:r>
              <w:rPr>
                <w:sz w:val="22"/>
                <w:szCs w:val="22"/>
              </w:rPr>
              <w:t>Yes</w:t>
            </w:r>
          </w:p>
        </w:tc>
      </w:tr>
      <w:tr w:rsidR="005C57E0" w14:paraId="4CD805D7" w14:textId="77777777" w:rsidTr="00BA5BC3">
        <w:tc>
          <w:tcPr>
            <w:tcW w:w="1728" w:type="dxa"/>
          </w:tcPr>
          <w:p w14:paraId="53ACC180" w14:textId="77777777" w:rsidR="005C57E0" w:rsidRDefault="005C57E0" w:rsidP="00BA5BC3">
            <w:pPr>
              <w:rPr>
                <w:sz w:val="22"/>
                <w:szCs w:val="22"/>
              </w:rPr>
            </w:pPr>
            <w:r>
              <w:rPr>
                <w:sz w:val="22"/>
                <w:szCs w:val="22"/>
              </w:rPr>
              <w:t>Summer 2025</w:t>
            </w:r>
          </w:p>
        </w:tc>
        <w:tc>
          <w:tcPr>
            <w:tcW w:w="1008" w:type="dxa"/>
            <w:vAlign w:val="center"/>
          </w:tcPr>
          <w:p w14:paraId="258833F4" w14:textId="63B7B171" w:rsidR="005C57E0" w:rsidRDefault="005C57E0" w:rsidP="00BA5BC3">
            <w:pPr>
              <w:jc w:val="center"/>
              <w:rPr>
                <w:sz w:val="22"/>
                <w:szCs w:val="22"/>
              </w:rPr>
            </w:pPr>
            <w:r>
              <w:rPr>
                <w:sz w:val="22"/>
                <w:szCs w:val="22"/>
              </w:rPr>
              <w:t>2.63</w:t>
            </w:r>
          </w:p>
        </w:tc>
        <w:tc>
          <w:tcPr>
            <w:tcW w:w="1008" w:type="dxa"/>
            <w:vAlign w:val="center"/>
          </w:tcPr>
          <w:p w14:paraId="753DD30E" w14:textId="10242DF2" w:rsidR="005C57E0" w:rsidRDefault="005C57E0" w:rsidP="00BA5BC3">
            <w:pPr>
              <w:jc w:val="center"/>
              <w:rPr>
                <w:sz w:val="22"/>
                <w:szCs w:val="22"/>
              </w:rPr>
            </w:pPr>
            <w:r>
              <w:rPr>
                <w:sz w:val="22"/>
                <w:szCs w:val="22"/>
              </w:rPr>
              <w:t>.49</w:t>
            </w:r>
          </w:p>
        </w:tc>
        <w:tc>
          <w:tcPr>
            <w:tcW w:w="1152" w:type="dxa"/>
            <w:vAlign w:val="center"/>
          </w:tcPr>
          <w:p w14:paraId="5FD6C1DC" w14:textId="4C35F5AF" w:rsidR="005C57E0" w:rsidRDefault="005C57E0" w:rsidP="00BA5BC3">
            <w:pPr>
              <w:jc w:val="center"/>
              <w:rPr>
                <w:sz w:val="22"/>
                <w:szCs w:val="22"/>
              </w:rPr>
            </w:pPr>
            <w:r>
              <w:rPr>
                <w:sz w:val="22"/>
                <w:szCs w:val="22"/>
              </w:rPr>
              <w:t>Yes</w:t>
            </w:r>
          </w:p>
        </w:tc>
      </w:tr>
    </w:tbl>
    <w:p w14:paraId="294630D9" w14:textId="476F7D40" w:rsidR="00670E45" w:rsidRDefault="00670E45" w:rsidP="003478A2">
      <w:pPr>
        <w:pStyle w:val="Heading1"/>
      </w:pPr>
      <w:r>
        <w:lastRenderedPageBreak/>
        <w:t>Programmatic Improvements Implemented in 2024-2025</w:t>
      </w:r>
    </w:p>
    <w:p w14:paraId="4AF37FCC" w14:textId="29BE708C" w:rsidR="000B0479" w:rsidRDefault="000B0479" w:rsidP="000B0479">
      <w:pPr>
        <w:pStyle w:val="ListParagraph"/>
        <w:numPr>
          <w:ilvl w:val="0"/>
          <w:numId w:val="4"/>
        </w:numPr>
      </w:pPr>
      <w:r>
        <w:t>Re-alignment with CACREP Standards 2016</w:t>
      </w:r>
    </w:p>
    <w:p w14:paraId="4F1EF0BD" w14:textId="3B3CDD3D" w:rsidR="00540016" w:rsidRDefault="00540016" w:rsidP="00540016">
      <w:pPr>
        <w:pStyle w:val="ListParagraph"/>
        <w:numPr>
          <w:ilvl w:val="1"/>
          <w:numId w:val="4"/>
        </w:numPr>
      </w:pPr>
      <w:proofErr w:type="spellStart"/>
      <w:r>
        <w:t>Student:Faculty</w:t>
      </w:r>
      <w:proofErr w:type="spellEnd"/>
      <w:r>
        <w:t xml:space="preserve"> Ratios, Curriculum, Clinical Training, and Course Content</w:t>
      </w:r>
    </w:p>
    <w:p w14:paraId="383F454A" w14:textId="67647DC6" w:rsidR="00540016" w:rsidRDefault="00540016" w:rsidP="000B0479">
      <w:pPr>
        <w:pStyle w:val="ListParagraph"/>
        <w:numPr>
          <w:ilvl w:val="0"/>
          <w:numId w:val="4"/>
        </w:numPr>
      </w:pPr>
      <w:r>
        <w:t>Developed and implemented a standardized rubric structure for evaluations in classes</w:t>
      </w:r>
    </w:p>
    <w:p w14:paraId="0A20E324" w14:textId="1B81560B" w:rsidR="00540016" w:rsidRDefault="00540016" w:rsidP="000B0479">
      <w:pPr>
        <w:pStyle w:val="ListParagraph"/>
        <w:numPr>
          <w:ilvl w:val="0"/>
          <w:numId w:val="4"/>
        </w:numPr>
      </w:pPr>
      <w:r>
        <w:t xml:space="preserve">Developed a program-wide policy on Artificial Intelligence use </w:t>
      </w:r>
    </w:p>
    <w:p w14:paraId="6B72A2C3" w14:textId="5FB86C89" w:rsidR="00540016" w:rsidRDefault="00540016" w:rsidP="000B0479">
      <w:pPr>
        <w:pStyle w:val="ListParagraph"/>
        <w:numPr>
          <w:ilvl w:val="0"/>
          <w:numId w:val="4"/>
        </w:numPr>
      </w:pPr>
      <w:r>
        <w:t>Developed and implemented a syllabus template, to show and display alignment with standards and program goals/outcomes</w:t>
      </w:r>
    </w:p>
    <w:p w14:paraId="62EF7E01" w14:textId="18D1DCB9" w:rsidR="00540016" w:rsidRDefault="00540016" w:rsidP="000B0479">
      <w:pPr>
        <w:pStyle w:val="ListParagraph"/>
        <w:numPr>
          <w:ilvl w:val="0"/>
          <w:numId w:val="4"/>
        </w:numPr>
      </w:pPr>
      <w:r>
        <w:t>Designed and integrated an Electronic Health Record System (</w:t>
      </w:r>
      <w:proofErr w:type="spellStart"/>
      <w:r>
        <w:t>Ensora</w:t>
      </w:r>
      <w:proofErr w:type="spellEnd"/>
      <w:r>
        <w:t>/</w:t>
      </w:r>
      <w:proofErr w:type="spellStart"/>
      <w:r>
        <w:t>TheraNest</w:t>
      </w:r>
      <w:proofErr w:type="spellEnd"/>
      <w:r>
        <w:t>) for use in onsite clinic</w:t>
      </w:r>
    </w:p>
    <w:p w14:paraId="089A288D" w14:textId="19EAD940" w:rsidR="00540016" w:rsidRDefault="00540016" w:rsidP="000B0479">
      <w:pPr>
        <w:pStyle w:val="ListParagraph"/>
        <w:numPr>
          <w:ilvl w:val="0"/>
          <w:numId w:val="4"/>
        </w:numPr>
      </w:pPr>
      <w:r>
        <w:t>Integrated and collected accreditation data throughout program</w:t>
      </w:r>
    </w:p>
    <w:p w14:paraId="4F3F9282" w14:textId="04D101A6" w:rsidR="00540016" w:rsidRPr="003478A2" w:rsidRDefault="00540016" w:rsidP="000B0479">
      <w:pPr>
        <w:pStyle w:val="ListParagraph"/>
        <w:numPr>
          <w:ilvl w:val="0"/>
          <w:numId w:val="4"/>
        </w:numPr>
      </w:pPr>
      <w:r>
        <w:t>Successfully completed a search for a permanent Program Coordinator/Core Faculty</w:t>
      </w:r>
    </w:p>
    <w:p w14:paraId="6E9EC3BC" w14:textId="340287EC" w:rsidR="00670E45" w:rsidRDefault="00670E45" w:rsidP="003478A2">
      <w:pPr>
        <w:pStyle w:val="Heading1"/>
      </w:pPr>
      <w:r>
        <w:t>Plans/Improvements for 2025-2026</w:t>
      </w:r>
    </w:p>
    <w:p w14:paraId="31ABA2BD" w14:textId="6678BEBA" w:rsidR="003478A2" w:rsidRDefault="003478A2" w:rsidP="003478A2">
      <w:pPr>
        <w:pStyle w:val="ListParagraph"/>
        <w:numPr>
          <w:ilvl w:val="0"/>
          <w:numId w:val="1"/>
        </w:numPr>
        <w:rPr>
          <w:sz w:val="22"/>
          <w:szCs w:val="22"/>
        </w:rPr>
      </w:pPr>
      <w:r>
        <w:rPr>
          <w:sz w:val="22"/>
          <w:szCs w:val="22"/>
        </w:rPr>
        <w:t>Re-align program with CACREP 2024 Standards</w:t>
      </w:r>
    </w:p>
    <w:p w14:paraId="46AE4316" w14:textId="577CA028" w:rsidR="006776F7" w:rsidRDefault="006776F7" w:rsidP="006776F7">
      <w:pPr>
        <w:pStyle w:val="ListParagraph"/>
        <w:numPr>
          <w:ilvl w:val="1"/>
          <w:numId w:val="1"/>
        </w:numPr>
        <w:rPr>
          <w:sz w:val="22"/>
          <w:szCs w:val="22"/>
        </w:rPr>
      </w:pPr>
      <w:r>
        <w:rPr>
          <w:sz w:val="22"/>
          <w:szCs w:val="22"/>
        </w:rPr>
        <w:t xml:space="preserve">Goal: Have program goals, metrics, and targets aligned with 2024 Standards by </w:t>
      </w:r>
      <w:proofErr w:type="gramStart"/>
      <w:r>
        <w:rPr>
          <w:sz w:val="22"/>
          <w:szCs w:val="22"/>
        </w:rPr>
        <w:t>May,</w:t>
      </w:r>
      <w:proofErr w:type="gramEnd"/>
      <w:r>
        <w:rPr>
          <w:sz w:val="22"/>
          <w:szCs w:val="22"/>
        </w:rPr>
        <w:t xml:space="preserve"> 2026</w:t>
      </w:r>
    </w:p>
    <w:p w14:paraId="5289A8D3" w14:textId="58114240" w:rsidR="006776F7" w:rsidRDefault="006776F7" w:rsidP="006776F7">
      <w:pPr>
        <w:pStyle w:val="ListParagraph"/>
        <w:numPr>
          <w:ilvl w:val="1"/>
          <w:numId w:val="1"/>
        </w:numPr>
        <w:rPr>
          <w:sz w:val="22"/>
          <w:szCs w:val="22"/>
        </w:rPr>
      </w:pPr>
      <w:r>
        <w:rPr>
          <w:sz w:val="22"/>
          <w:szCs w:val="22"/>
        </w:rPr>
        <w:t>Goal: Have syllabi aligned/edited and updated to reflect 2024 standards by June 2026</w:t>
      </w:r>
    </w:p>
    <w:p w14:paraId="3A58E424" w14:textId="51FCF1B5" w:rsidR="006776F7" w:rsidRDefault="006776F7" w:rsidP="006776F7">
      <w:pPr>
        <w:pStyle w:val="ListParagraph"/>
        <w:numPr>
          <w:ilvl w:val="1"/>
          <w:numId w:val="1"/>
        </w:numPr>
        <w:rPr>
          <w:sz w:val="22"/>
          <w:szCs w:val="22"/>
        </w:rPr>
      </w:pPr>
      <w:r>
        <w:rPr>
          <w:sz w:val="22"/>
          <w:szCs w:val="22"/>
        </w:rPr>
        <w:t>Goal: Complete curriculum map of all courses to evaluate and align with 2024 Standards by April 2026</w:t>
      </w:r>
    </w:p>
    <w:p w14:paraId="64B7F408" w14:textId="5BFA9B52" w:rsidR="003478A2" w:rsidRDefault="003478A2" w:rsidP="003478A2">
      <w:pPr>
        <w:pStyle w:val="ListParagraph"/>
        <w:numPr>
          <w:ilvl w:val="0"/>
          <w:numId w:val="1"/>
        </w:numPr>
        <w:rPr>
          <w:sz w:val="22"/>
          <w:szCs w:val="22"/>
        </w:rPr>
      </w:pPr>
      <w:r>
        <w:rPr>
          <w:sz w:val="22"/>
          <w:szCs w:val="22"/>
        </w:rPr>
        <w:t>Engage in regular evaluation assessment</w:t>
      </w:r>
      <w:r w:rsidR="000B0479">
        <w:rPr>
          <w:sz w:val="22"/>
          <w:szCs w:val="22"/>
        </w:rPr>
        <w:t xml:space="preserve"> reviews with programmatic improvement meetings</w:t>
      </w:r>
    </w:p>
    <w:p w14:paraId="191ACBD5" w14:textId="10EA4119" w:rsidR="006776F7" w:rsidRDefault="006776F7" w:rsidP="006776F7">
      <w:pPr>
        <w:pStyle w:val="ListParagraph"/>
        <w:numPr>
          <w:ilvl w:val="1"/>
          <w:numId w:val="1"/>
        </w:numPr>
        <w:rPr>
          <w:sz w:val="22"/>
          <w:szCs w:val="22"/>
        </w:rPr>
      </w:pPr>
      <w:r>
        <w:rPr>
          <w:sz w:val="22"/>
          <w:szCs w:val="22"/>
        </w:rPr>
        <w:t xml:space="preserve">Goal: </w:t>
      </w:r>
      <w:r w:rsidR="00EF5E86">
        <w:rPr>
          <w:sz w:val="22"/>
          <w:szCs w:val="22"/>
        </w:rPr>
        <w:t>Conduct</w:t>
      </w:r>
      <w:r>
        <w:rPr>
          <w:sz w:val="22"/>
          <w:szCs w:val="22"/>
        </w:rPr>
        <w:t xml:space="preserve"> review</w:t>
      </w:r>
      <w:r w:rsidR="00EF5E86">
        <w:rPr>
          <w:sz w:val="22"/>
          <w:szCs w:val="22"/>
        </w:rPr>
        <w:t xml:space="preserve"> of</w:t>
      </w:r>
      <w:r>
        <w:rPr>
          <w:sz w:val="22"/>
          <w:szCs w:val="22"/>
        </w:rPr>
        <w:t xml:space="preserve"> goals and outcomes</w:t>
      </w:r>
      <w:r w:rsidR="00EF5E86">
        <w:rPr>
          <w:sz w:val="22"/>
          <w:szCs w:val="22"/>
        </w:rPr>
        <w:t xml:space="preserve"> every semester</w:t>
      </w:r>
      <w:r>
        <w:rPr>
          <w:sz w:val="22"/>
          <w:szCs w:val="22"/>
        </w:rPr>
        <w:t>.</w:t>
      </w:r>
    </w:p>
    <w:p w14:paraId="58B2D6F7" w14:textId="7938E8FC" w:rsidR="00540016" w:rsidRPr="006776F7" w:rsidRDefault="00540016" w:rsidP="003478A2">
      <w:pPr>
        <w:pStyle w:val="ListParagraph"/>
        <w:numPr>
          <w:ilvl w:val="0"/>
          <w:numId w:val="1"/>
        </w:numPr>
        <w:rPr>
          <w:sz w:val="22"/>
          <w:szCs w:val="22"/>
        </w:rPr>
      </w:pPr>
      <w:r w:rsidRPr="006776F7">
        <w:rPr>
          <w:sz w:val="22"/>
          <w:szCs w:val="22"/>
        </w:rPr>
        <w:t xml:space="preserve">Develop a </w:t>
      </w:r>
      <w:r w:rsidR="006776F7" w:rsidRPr="006776F7">
        <w:rPr>
          <w:sz w:val="22"/>
          <w:szCs w:val="22"/>
        </w:rPr>
        <w:t xml:space="preserve">concrete </w:t>
      </w:r>
      <w:r w:rsidRPr="006776F7">
        <w:rPr>
          <w:sz w:val="22"/>
          <w:szCs w:val="22"/>
        </w:rPr>
        <w:t>plan to address not achieving program goa</w:t>
      </w:r>
      <w:r w:rsidR="006776F7" w:rsidRPr="006776F7">
        <w:rPr>
          <w:sz w:val="22"/>
          <w:szCs w:val="22"/>
        </w:rPr>
        <w:t xml:space="preserve">l #1 for </w:t>
      </w:r>
      <w:r w:rsidR="004E17B9">
        <w:rPr>
          <w:sz w:val="22"/>
          <w:szCs w:val="22"/>
        </w:rPr>
        <w:t xml:space="preserve">the </w:t>
      </w:r>
      <w:r w:rsidR="006776F7" w:rsidRPr="006776F7">
        <w:rPr>
          <w:sz w:val="22"/>
          <w:szCs w:val="22"/>
        </w:rPr>
        <w:t>School Counseling Concentration</w:t>
      </w:r>
    </w:p>
    <w:p w14:paraId="6797AAC9" w14:textId="6404E600" w:rsidR="006776F7" w:rsidRPr="006776F7" w:rsidRDefault="006776F7" w:rsidP="006776F7">
      <w:pPr>
        <w:pStyle w:val="ListParagraph"/>
        <w:numPr>
          <w:ilvl w:val="1"/>
          <w:numId w:val="1"/>
        </w:numPr>
        <w:rPr>
          <w:sz w:val="22"/>
          <w:szCs w:val="22"/>
        </w:rPr>
      </w:pPr>
      <w:r w:rsidRPr="006776F7">
        <w:rPr>
          <w:sz w:val="22"/>
          <w:szCs w:val="22"/>
        </w:rPr>
        <w:t>Goal: Have success plan in place by December 2025</w:t>
      </w:r>
      <w:r w:rsidR="004E17B9">
        <w:rPr>
          <w:sz w:val="22"/>
          <w:szCs w:val="22"/>
        </w:rPr>
        <w:t>, with implementation in Spring 2026</w:t>
      </w:r>
    </w:p>
    <w:p w14:paraId="3A8F4903" w14:textId="5ADAA9DF" w:rsidR="003478A2" w:rsidRDefault="003478A2" w:rsidP="003478A2">
      <w:pPr>
        <w:pStyle w:val="ListParagraph"/>
        <w:numPr>
          <w:ilvl w:val="0"/>
          <w:numId w:val="1"/>
        </w:numPr>
        <w:rPr>
          <w:sz w:val="22"/>
          <w:szCs w:val="22"/>
        </w:rPr>
      </w:pPr>
      <w:r>
        <w:rPr>
          <w:sz w:val="22"/>
          <w:szCs w:val="22"/>
        </w:rPr>
        <w:t xml:space="preserve">Complete a successful search to hire a permanent core faculty member who will also serve as Internship Coordinator. </w:t>
      </w:r>
      <w:r w:rsidR="00CE58F9">
        <w:rPr>
          <w:sz w:val="22"/>
          <w:szCs w:val="22"/>
        </w:rPr>
        <w:t xml:space="preserve">The goal is for </w:t>
      </w:r>
      <w:r w:rsidR="00777FAB">
        <w:rPr>
          <w:sz w:val="22"/>
          <w:szCs w:val="22"/>
        </w:rPr>
        <w:t>the successful candidate to begin August 2026.</w:t>
      </w:r>
    </w:p>
    <w:p w14:paraId="4AB8FAD2" w14:textId="4DD3A376" w:rsidR="003478A2" w:rsidRPr="003478A2" w:rsidRDefault="003478A2" w:rsidP="00777FAB">
      <w:pPr>
        <w:pStyle w:val="ListParagraph"/>
        <w:ind w:left="1440"/>
        <w:rPr>
          <w:sz w:val="22"/>
          <w:szCs w:val="22"/>
        </w:rPr>
      </w:pPr>
    </w:p>
    <w:sectPr w:rsidR="003478A2" w:rsidRPr="00347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7B4"/>
    <w:multiLevelType w:val="hybridMultilevel"/>
    <w:tmpl w:val="2480A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D3BA2"/>
    <w:multiLevelType w:val="hybridMultilevel"/>
    <w:tmpl w:val="0B7CE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83619"/>
    <w:multiLevelType w:val="hybridMultilevel"/>
    <w:tmpl w:val="2F26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9419A"/>
    <w:multiLevelType w:val="hybridMultilevel"/>
    <w:tmpl w:val="E936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075550">
    <w:abstractNumId w:val="2"/>
  </w:num>
  <w:num w:numId="2" w16cid:durableId="1290554859">
    <w:abstractNumId w:val="3"/>
  </w:num>
  <w:num w:numId="3" w16cid:durableId="1130826802">
    <w:abstractNumId w:val="0"/>
  </w:num>
  <w:num w:numId="4" w16cid:durableId="46315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9F"/>
    <w:rsid w:val="000467C5"/>
    <w:rsid w:val="00051CCB"/>
    <w:rsid w:val="000A1975"/>
    <w:rsid w:val="000B0479"/>
    <w:rsid w:val="001D2766"/>
    <w:rsid w:val="00282AE2"/>
    <w:rsid w:val="002A60AD"/>
    <w:rsid w:val="00306CF2"/>
    <w:rsid w:val="0031345B"/>
    <w:rsid w:val="003478A2"/>
    <w:rsid w:val="00380A8F"/>
    <w:rsid w:val="00466289"/>
    <w:rsid w:val="004E17B9"/>
    <w:rsid w:val="00531F5D"/>
    <w:rsid w:val="00540016"/>
    <w:rsid w:val="005C57E0"/>
    <w:rsid w:val="00670E45"/>
    <w:rsid w:val="006776F7"/>
    <w:rsid w:val="006B3D2C"/>
    <w:rsid w:val="00710CB4"/>
    <w:rsid w:val="00777FAB"/>
    <w:rsid w:val="007A349F"/>
    <w:rsid w:val="00842637"/>
    <w:rsid w:val="00891FCA"/>
    <w:rsid w:val="008A32E1"/>
    <w:rsid w:val="009062D6"/>
    <w:rsid w:val="009771C2"/>
    <w:rsid w:val="009920E9"/>
    <w:rsid w:val="009E1B96"/>
    <w:rsid w:val="00A229E3"/>
    <w:rsid w:val="00A36EC7"/>
    <w:rsid w:val="00BB374A"/>
    <w:rsid w:val="00CE58F9"/>
    <w:rsid w:val="00D31990"/>
    <w:rsid w:val="00DA52A5"/>
    <w:rsid w:val="00DD2C2C"/>
    <w:rsid w:val="00EF5E86"/>
    <w:rsid w:val="00F859B1"/>
    <w:rsid w:val="00FC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2A6F"/>
  <w15:chartTrackingRefBased/>
  <w15:docId w15:val="{2D59075D-E2C4-7B4B-BF17-56A0C378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8A2"/>
    <w:pPr>
      <w:keepNext/>
      <w:keepLines/>
      <w:spacing w:before="36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A3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4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4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4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4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8A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A3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49F"/>
    <w:rPr>
      <w:rFonts w:eastAsiaTheme="majorEastAsia" w:cstheme="majorBidi"/>
      <w:color w:val="272727" w:themeColor="text1" w:themeTint="D8"/>
    </w:rPr>
  </w:style>
  <w:style w:type="paragraph" w:styleId="Title">
    <w:name w:val="Title"/>
    <w:basedOn w:val="Normal"/>
    <w:next w:val="Normal"/>
    <w:link w:val="TitleChar"/>
    <w:uiPriority w:val="10"/>
    <w:qFormat/>
    <w:rsid w:val="007A34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4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4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49F"/>
    <w:rPr>
      <w:i/>
      <w:iCs/>
      <w:color w:val="404040" w:themeColor="text1" w:themeTint="BF"/>
    </w:rPr>
  </w:style>
  <w:style w:type="paragraph" w:styleId="ListParagraph">
    <w:name w:val="List Paragraph"/>
    <w:basedOn w:val="Normal"/>
    <w:uiPriority w:val="34"/>
    <w:qFormat/>
    <w:rsid w:val="007A349F"/>
    <w:pPr>
      <w:ind w:left="720"/>
      <w:contextualSpacing/>
    </w:pPr>
  </w:style>
  <w:style w:type="character" w:styleId="IntenseEmphasis">
    <w:name w:val="Intense Emphasis"/>
    <w:basedOn w:val="DefaultParagraphFont"/>
    <w:uiPriority w:val="21"/>
    <w:qFormat/>
    <w:rsid w:val="007A349F"/>
    <w:rPr>
      <w:i/>
      <w:iCs/>
      <w:color w:val="0F4761" w:themeColor="accent1" w:themeShade="BF"/>
    </w:rPr>
  </w:style>
  <w:style w:type="paragraph" w:styleId="IntenseQuote">
    <w:name w:val="Intense Quote"/>
    <w:basedOn w:val="Normal"/>
    <w:next w:val="Normal"/>
    <w:link w:val="IntenseQuoteChar"/>
    <w:uiPriority w:val="30"/>
    <w:qFormat/>
    <w:rsid w:val="007A3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49F"/>
    <w:rPr>
      <w:i/>
      <w:iCs/>
      <w:color w:val="0F4761" w:themeColor="accent1" w:themeShade="BF"/>
    </w:rPr>
  </w:style>
  <w:style w:type="character" w:styleId="IntenseReference">
    <w:name w:val="Intense Reference"/>
    <w:basedOn w:val="DefaultParagraphFont"/>
    <w:uiPriority w:val="32"/>
    <w:qFormat/>
    <w:rsid w:val="007A349F"/>
    <w:rPr>
      <w:b/>
      <w:bCs/>
      <w:smallCaps/>
      <w:color w:val="0F4761" w:themeColor="accent1" w:themeShade="BF"/>
      <w:spacing w:val="5"/>
    </w:rPr>
  </w:style>
  <w:style w:type="table" w:styleId="TableGrid">
    <w:name w:val="Table Grid"/>
    <w:basedOn w:val="TableNormal"/>
    <w:uiPriority w:val="39"/>
    <w:rsid w:val="0034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 Belous</dc:creator>
  <cp:keywords/>
  <dc:description/>
  <cp:lastModifiedBy>James Alan Seidler</cp:lastModifiedBy>
  <cp:revision>2</cp:revision>
  <dcterms:created xsi:type="dcterms:W3CDTF">2025-09-24T14:17:00Z</dcterms:created>
  <dcterms:modified xsi:type="dcterms:W3CDTF">2025-09-24T14:17:00Z</dcterms:modified>
</cp:coreProperties>
</file>